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DA7F" w14:textId="382048DA" w:rsidR="008453DA" w:rsidRDefault="008453DA">
      <w:pPr>
        <w:rPr>
          <w:b/>
          <w:bCs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670B383" wp14:editId="1E030358">
            <wp:simplePos x="0" y="0"/>
            <wp:positionH relativeFrom="column">
              <wp:posOffset>914401</wp:posOffset>
            </wp:positionH>
            <wp:positionV relativeFrom="paragraph">
              <wp:posOffset>-381965</wp:posOffset>
            </wp:positionV>
            <wp:extent cx="3819646" cy="833217"/>
            <wp:effectExtent l="0" t="0" r="0" b="5080"/>
            <wp:wrapNone/>
            <wp:docPr id="947815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334" cy="836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E2C73" w14:textId="77777777" w:rsidR="008453DA" w:rsidRDefault="008453DA">
      <w:pPr>
        <w:rPr>
          <w:b/>
          <w:bCs/>
          <w:u w:val="single"/>
        </w:rPr>
      </w:pPr>
    </w:p>
    <w:p w14:paraId="4E77D66F" w14:textId="46B4816E" w:rsidR="008453DA" w:rsidRDefault="008453DA">
      <w:pPr>
        <w:rPr>
          <w:b/>
          <w:bCs/>
          <w:u w:val="single"/>
        </w:rPr>
      </w:pPr>
    </w:p>
    <w:p w14:paraId="0FCE171F" w14:textId="286BE689" w:rsidR="00691347" w:rsidRPr="00D50C6C" w:rsidRDefault="00CF396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50C6C">
        <w:rPr>
          <w:rFonts w:ascii="Arial" w:hAnsi="Arial" w:cs="Arial"/>
          <w:b/>
          <w:bCs/>
          <w:sz w:val="22"/>
          <w:szCs w:val="22"/>
          <w:u w:val="single"/>
        </w:rPr>
        <w:t>Child I Action Plan Summary for the National Panel</w:t>
      </w:r>
    </w:p>
    <w:p w14:paraId="323B350D" w14:textId="415D6CB6" w:rsidR="00CF3966" w:rsidRPr="00D50C6C" w:rsidRDefault="00CF3966">
      <w:pPr>
        <w:rPr>
          <w:rFonts w:ascii="Arial" w:hAnsi="Arial" w:cs="Arial"/>
          <w:sz w:val="22"/>
          <w:szCs w:val="22"/>
          <w:u w:val="single"/>
        </w:rPr>
      </w:pPr>
      <w:r w:rsidRPr="00D50C6C">
        <w:rPr>
          <w:rFonts w:ascii="Arial" w:hAnsi="Arial" w:cs="Arial"/>
          <w:sz w:val="22"/>
          <w:szCs w:val="22"/>
          <w:u w:val="single"/>
        </w:rPr>
        <w:t>Case summary</w:t>
      </w:r>
    </w:p>
    <w:p w14:paraId="34B5B600" w14:textId="034CD1B8" w:rsidR="00CF3966" w:rsidRPr="00D50C6C" w:rsidRDefault="00CF3966" w:rsidP="00CF3966">
      <w:pPr>
        <w:rPr>
          <w:rFonts w:ascii="Arial" w:hAnsi="Arial" w:cs="Arial"/>
          <w:sz w:val="22"/>
          <w:szCs w:val="22"/>
          <w:u w:val="single"/>
        </w:rPr>
      </w:pPr>
      <w:r w:rsidRPr="00D50C6C">
        <w:rPr>
          <w:rFonts w:ascii="Arial" w:hAnsi="Arial" w:cs="Arial"/>
          <w:sz w:val="22"/>
          <w:szCs w:val="22"/>
        </w:rPr>
        <w:t>Child I was a 12-week-old baby found unresponsive while co-sleeping with a parent and sibling. The child was subject to a Child in Need (CIN) plan at the time</w:t>
      </w:r>
    </w:p>
    <w:p w14:paraId="3ACCDC47" w14:textId="35163857" w:rsidR="00CF3966" w:rsidRPr="00D50C6C" w:rsidRDefault="00CF3966" w:rsidP="00CF3966">
      <w:pPr>
        <w:rPr>
          <w:rFonts w:ascii="Arial" w:hAnsi="Arial" w:cs="Arial"/>
          <w:sz w:val="22"/>
          <w:szCs w:val="22"/>
          <w:u w:val="single"/>
        </w:rPr>
      </w:pPr>
      <w:r w:rsidRPr="00D50C6C">
        <w:rPr>
          <w:rFonts w:ascii="Arial" w:hAnsi="Arial" w:cs="Arial"/>
          <w:sz w:val="22"/>
          <w:szCs w:val="22"/>
          <w:u w:val="single"/>
        </w:rPr>
        <w:t>Review Process</w:t>
      </w:r>
    </w:p>
    <w:p w14:paraId="38A06BBD" w14:textId="1773961A" w:rsidR="00983CEC" w:rsidRPr="00D50C6C" w:rsidRDefault="00DB502E" w:rsidP="00B7490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50C6C">
        <w:rPr>
          <w:rFonts w:ascii="Arial" w:hAnsi="Arial" w:cs="Arial"/>
          <w:sz w:val="22"/>
          <w:szCs w:val="22"/>
        </w:rPr>
        <w:t>The notification was sent to the National Panel on 18</w:t>
      </w:r>
      <w:r w:rsidRPr="00D50C6C">
        <w:rPr>
          <w:rFonts w:ascii="Arial" w:hAnsi="Arial" w:cs="Arial"/>
          <w:sz w:val="22"/>
          <w:szCs w:val="22"/>
          <w:vertAlign w:val="superscript"/>
        </w:rPr>
        <w:t>th</w:t>
      </w:r>
      <w:r w:rsidRPr="00D50C6C">
        <w:rPr>
          <w:rFonts w:ascii="Arial" w:hAnsi="Arial" w:cs="Arial"/>
          <w:sz w:val="22"/>
          <w:szCs w:val="22"/>
        </w:rPr>
        <w:t xml:space="preserve"> December 2020. </w:t>
      </w:r>
    </w:p>
    <w:p w14:paraId="602B7339" w14:textId="69463401" w:rsidR="00CF3966" w:rsidRPr="00D50C6C" w:rsidRDefault="00DB502E" w:rsidP="00B7490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50C6C">
        <w:rPr>
          <w:rFonts w:ascii="Arial" w:hAnsi="Arial" w:cs="Arial"/>
          <w:sz w:val="22"/>
          <w:szCs w:val="22"/>
        </w:rPr>
        <w:t>The</w:t>
      </w:r>
      <w:r w:rsidR="00CF3966" w:rsidRPr="00D50C6C">
        <w:rPr>
          <w:rFonts w:ascii="Arial" w:hAnsi="Arial" w:cs="Arial"/>
          <w:sz w:val="22"/>
          <w:szCs w:val="22"/>
        </w:rPr>
        <w:t xml:space="preserve"> Rapid Review was initiated on 4 January 2021</w:t>
      </w:r>
      <w:r w:rsidR="00C51EB4" w:rsidRPr="00D50C6C">
        <w:rPr>
          <w:rFonts w:ascii="Arial" w:hAnsi="Arial" w:cs="Arial"/>
          <w:sz w:val="22"/>
          <w:szCs w:val="22"/>
        </w:rPr>
        <w:t xml:space="preserve"> and agreed at NYSCP Executive on 22</w:t>
      </w:r>
      <w:r w:rsidR="00C51EB4" w:rsidRPr="00D50C6C">
        <w:rPr>
          <w:rFonts w:ascii="Arial" w:hAnsi="Arial" w:cs="Arial"/>
          <w:sz w:val="22"/>
          <w:szCs w:val="22"/>
          <w:vertAlign w:val="superscript"/>
        </w:rPr>
        <w:t>nd</w:t>
      </w:r>
      <w:r w:rsidR="00C51EB4" w:rsidRPr="00D50C6C">
        <w:rPr>
          <w:rFonts w:ascii="Arial" w:hAnsi="Arial" w:cs="Arial"/>
          <w:sz w:val="22"/>
          <w:szCs w:val="22"/>
        </w:rPr>
        <w:t xml:space="preserve"> January 2021. </w:t>
      </w:r>
    </w:p>
    <w:p w14:paraId="51265B41" w14:textId="44547484" w:rsidR="00DD7D62" w:rsidRPr="00D50C6C" w:rsidRDefault="00CF3966" w:rsidP="00D50C6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50C6C">
        <w:rPr>
          <w:rFonts w:ascii="Arial" w:hAnsi="Arial" w:cs="Arial"/>
          <w:sz w:val="22"/>
          <w:szCs w:val="22"/>
        </w:rPr>
        <w:t>The Local Safeguarding Children Practice Review (LSCPR)</w:t>
      </w:r>
      <w:r w:rsidR="00B44003" w:rsidRPr="00D50C6C">
        <w:rPr>
          <w:rFonts w:ascii="Arial" w:hAnsi="Arial" w:cs="Arial"/>
          <w:sz w:val="22"/>
          <w:szCs w:val="22"/>
        </w:rPr>
        <w:t xml:space="preserve"> completed </w:t>
      </w:r>
      <w:r w:rsidR="00C51EB4" w:rsidRPr="00D50C6C">
        <w:rPr>
          <w:rFonts w:ascii="Arial" w:hAnsi="Arial" w:cs="Arial"/>
          <w:sz w:val="22"/>
          <w:szCs w:val="22"/>
        </w:rPr>
        <w:t>and signed off by NYSCP Exec on 15</w:t>
      </w:r>
      <w:r w:rsidR="00C51EB4" w:rsidRPr="00D50C6C">
        <w:rPr>
          <w:rFonts w:ascii="Arial" w:hAnsi="Arial" w:cs="Arial"/>
          <w:sz w:val="22"/>
          <w:szCs w:val="22"/>
          <w:vertAlign w:val="superscript"/>
        </w:rPr>
        <w:t>th</w:t>
      </w:r>
      <w:r w:rsidR="00C51EB4" w:rsidRPr="00D50C6C">
        <w:rPr>
          <w:rFonts w:ascii="Arial" w:hAnsi="Arial" w:cs="Arial"/>
          <w:sz w:val="22"/>
          <w:szCs w:val="22"/>
        </w:rPr>
        <w:t xml:space="preserve"> November 2021</w:t>
      </w:r>
      <w:r w:rsidR="00B7490F" w:rsidRPr="00D50C6C">
        <w:rPr>
          <w:rFonts w:ascii="Arial" w:hAnsi="Arial" w:cs="Arial"/>
          <w:sz w:val="22"/>
          <w:szCs w:val="22"/>
        </w:rPr>
        <w:t xml:space="preserve"> and sent to the National Panel NYSCP Exec</w:t>
      </w:r>
      <w:r w:rsidR="00C51EB4" w:rsidRPr="00D50C6C">
        <w:rPr>
          <w:rFonts w:ascii="Arial" w:hAnsi="Arial" w:cs="Arial"/>
          <w:sz w:val="22"/>
          <w:szCs w:val="22"/>
        </w:rPr>
        <w:t xml:space="preserve"> agreed </w:t>
      </w:r>
      <w:r w:rsidR="00DD7D62" w:rsidRPr="00D50C6C">
        <w:rPr>
          <w:rFonts w:ascii="Arial" w:hAnsi="Arial" w:cs="Arial"/>
          <w:sz w:val="22"/>
          <w:szCs w:val="22"/>
        </w:rPr>
        <w:t>that publication would be delayed due</w:t>
      </w:r>
      <w:r w:rsidR="00411F04" w:rsidRPr="00D50C6C">
        <w:rPr>
          <w:rFonts w:ascii="Arial" w:hAnsi="Arial" w:cs="Arial"/>
          <w:sz w:val="22"/>
          <w:szCs w:val="22"/>
        </w:rPr>
        <w:t xml:space="preserve"> to</w:t>
      </w:r>
      <w:r w:rsidR="00DD7D62" w:rsidRPr="00D50C6C">
        <w:rPr>
          <w:rFonts w:ascii="Arial" w:hAnsi="Arial" w:cs="Arial"/>
          <w:sz w:val="22"/>
          <w:szCs w:val="22"/>
        </w:rPr>
        <w:t xml:space="preserve"> the criminal proceedings ongoing with this case. </w:t>
      </w:r>
    </w:p>
    <w:p w14:paraId="77533013" w14:textId="0E778D86" w:rsidR="00234B81" w:rsidRPr="00D50C6C" w:rsidRDefault="00234B81" w:rsidP="00D50C6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50C6C">
        <w:rPr>
          <w:rFonts w:ascii="Arial" w:hAnsi="Arial" w:cs="Arial"/>
          <w:sz w:val="22"/>
          <w:szCs w:val="22"/>
        </w:rPr>
        <w:t xml:space="preserve">The LSCPR </w:t>
      </w:r>
      <w:r w:rsidR="00DB4324" w:rsidRPr="00D50C6C">
        <w:rPr>
          <w:rFonts w:ascii="Arial" w:hAnsi="Arial" w:cs="Arial"/>
          <w:sz w:val="22"/>
          <w:szCs w:val="22"/>
        </w:rPr>
        <w:t xml:space="preserve">action plan was shared with the </w:t>
      </w:r>
      <w:r w:rsidR="0020740E">
        <w:rPr>
          <w:rFonts w:ascii="Arial" w:hAnsi="Arial" w:cs="Arial"/>
          <w:sz w:val="22"/>
          <w:szCs w:val="22"/>
        </w:rPr>
        <w:t>L</w:t>
      </w:r>
      <w:r w:rsidR="00DB4324" w:rsidRPr="00D50C6C">
        <w:rPr>
          <w:rFonts w:ascii="Arial" w:hAnsi="Arial" w:cs="Arial"/>
          <w:sz w:val="22"/>
          <w:szCs w:val="22"/>
        </w:rPr>
        <w:t xml:space="preserve">earning and </w:t>
      </w:r>
      <w:r w:rsidR="0020740E">
        <w:rPr>
          <w:rFonts w:ascii="Arial" w:hAnsi="Arial" w:cs="Arial"/>
          <w:sz w:val="22"/>
          <w:szCs w:val="22"/>
        </w:rPr>
        <w:t>I</w:t>
      </w:r>
      <w:r w:rsidR="00DB4324" w:rsidRPr="00D50C6C">
        <w:rPr>
          <w:rFonts w:ascii="Arial" w:hAnsi="Arial" w:cs="Arial"/>
          <w:sz w:val="22"/>
          <w:szCs w:val="22"/>
        </w:rPr>
        <w:t xml:space="preserve">mprovement subgroup who oversaw the actions and </w:t>
      </w:r>
      <w:r w:rsidR="00CA2C38">
        <w:rPr>
          <w:rFonts w:ascii="Arial" w:hAnsi="Arial" w:cs="Arial"/>
          <w:sz w:val="22"/>
          <w:szCs w:val="22"/>
        </w:rPr>
        <w:t xml:space="preserve">the </w:t>
      </w:r>
      <w:r w:rsidR="00B7490F" w:rsidRPr="00D50C6C">
        <w:rPr>
          <w:rFonts w:ascii="Arial" w:hAnsi="Arial" w:cs="Arial"/>
          <w:sz w:val="22"/>
          <w:szCs w:val="22"/>
        </w:rPr>
        <w:t xml:space="preserve">embedding </w:t>
      </w:r>
      <w:r w:rsidR="00CA2C38">
        <w:rPr>
          <w:rFonts w:ascii="Arial" w:hAnsi="Arial" w:cs="Arial"/>
          <w:sz w:val="22"/>
          <w:szCs w:val="22"/>
        </w:rPr>
        <w:t xml:space="preserve">of </w:t>
      </w:r>
      <w:r w:rsidR="00B7490F" w:rsidRPr="00D50C6C">
        <w:rPr>
          <w:rFonts w:ascii="Arial" w:hAnsi="Arial" w:cs="Arial"/>
          <w:sz w:val="22"/>
          <w:szCs w:val="22"/>
        </w:rPr>
        <w:t xml:space="preserve">the learning from this case. </w:t>
      </w:r>
    </w:p>
    <w:p w14:paraId="48930FC8" w14:textId="2244BCDC" w:rsidR="00C47D27" w:rsidRPr="00D50C6C" w:rsidRDefault="00DD7D62" w:rsidP="00D50C6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D50C6C">
        <w:rPr>
          <w:rFonts w:ascii="Arial" w:hAnsi="Arial" w:cs="Arial"/>
          <w:sz w:val="22"/>
          <w:szCs w:val="22"/>
        </w:rPr>
        <w:t xml:space="preserve">North Yorkshire Police formally submitted the case to CPS in August 2023 and </w:t>
      </w:r>
      <w:r w:rsidR="00234B81" w:rsidRPr="00D50C6C">
        <w:rPr>
          <w:rFonts w:ascii="Arial" w:hAnsi="Arial" w:cs="Arial"/>
          <w:sz w:val="22"/>
          <w:szCs w:val="22"/>
        </w:rPr>
        <w:t>on</w:t>
      </w:r>
      <w:r w:rsidR="00C47D27" w:rsidRPr="00D50C6C">
        <w:rPr>
          <w:rFonts w:ascii="Arial" w:hAnsi="Arial" w:cs="Arial"/>
          <w:sz w:val="22"/>
          <w:szCs w:val="22"/>
        </w:rPr>
        <w:t xml:space="preserve"> </w:t>
      </w:r>
      <w:r w:rsidR="00AA43D2">
        <w:rPr>
          <w:rFonts w:ascii="Arial" w:hAnsi="Arial" w:cs="Arial"/>
          <w:sz w:val="22"/>
          <w:szCs w:val="22"/>
        </w:rPr>
        <w:t>25</w:t>
      </w:r>
      <w:r w:rsidR="00AA43D2" w:rsidRPr="00AA43D2">
        <w:rPr>
          <w:rFonts w:ascii="Arial" w:hAnsi="Arial" w:cs="Arial"/>
          <w:sz w:val="22"/>
          <w:szCs w:val="22"/>
          <w:vertAlign w:val="superscript"/>
        </w:rPr>
        <w:t>th</w:t>
      </w:r>
      <w:r w:rsidR="00AA43D2">
        <w:rPr>
          <w:rFonts w:ascii="Arial" w:hAnsi="Arial" w:cs="Arial"/>
          <w:sz w:val="22"/>
          <w:szCs w:val="22"/>
        </w:rPr>
        <w:t xml:space="preserve"> June </w:t>
      </w:r>
      <w:r w:rsidR="00C47D27" w:rsidRPr="00D50C6C">
        <w:rPr>
          <w:rFonts w:ascii="Arial" w:hAnsi="Arial" w:cs="Arial"/>
          <w:sz w:val="22"/>
          <w:szCs w:val="22"/>
        </w:rPr>
        <w:t xml:space="preserve">2025, NYSCP were made aware that the CPS had decided that no further action would be taken in relation to this case. </w:t>
      </w:r>
    </w:p>
    <w:p w14:paraId="703AF5CA" w14:textId="61EBAC26" w:rsidR="00CF3966" w:rsidRPr="00D50C6C" w:rsidRDefault="00CF3966" w:rsidP="00D50C6C">
      <w:pPr>
        <w:jc w:val="both"/>
        <w:rPr>
          <w:rFonts w:ascii="Arial" w:hAnsi="Arial" w:cs="Arial"/>
          <w:sz w:val="22"/>
          <w:szCs w:val="22"/>
          <w:u w:val="single"/>
        </w:rPr>
      </w:pPr>
      <w:r w:rsidRPr="00D50C6C">
        <w:rPr>
          <w:rFonts w:ascii="Arial" w:hAnsi="Arial" w:cs="Arial"/>
          <w:sz w:val="22"/>
          <w:szCs w:val="22"/>
          <w:u w:val="single"/>
        </w:rPr>
        <w:t xml:space="preserve">Key </w:t>
      </w:r>
      <w:r w:rsidR="00BC2F37" w:rsidRPr="00D50C6C">
        <w:rPr>
          <w:rFonts w:ascii="Arial" w:hAnsi="Arial" w:cs="Arial"/>
          <w:sz w:val="22"/>
          <w:szCs w:val="22"/>
          <w:u w:val="single"/>
        </w:rPr>
        <w:t>Recommendations and Completed Actions</w:t>
      </w:r>
    </w:p>
    <w:p w14:paraId="474AD9A9" w14:textId="4F35ED73" w:rsidR="00C54CDE" w:rsidRPr="00EF7953" w:rsidRDefault="00C54CDE" w:rsidP="00EF7953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F7953">
        <w:rPr>
          <w:rFonts w:ascii="Arial" w:hAnsi="Arial" w:cs="Arial"/>
          <w:b/>
          <w:bCs/>
          <w:sz w:val="22"/>
          <w:szCs w:val="22"/>
        </w:rPr>
        <w:t>Recommendation:</w:t>
      </w:r>
      <w:r w:rsidRPr="00EF7953">
        <w:rPr>
          <w:rFonts w:ascii="Arial" w:hAnsi="Arial" w:cs="Arial"/>
          <w:sz w:val="22"/>
          <w:szCs w:val="22"/>
        </w:rPr>
        <w:t> All practitioners involved in the review to receive a formal debrief for shared learning and feedback.</w:t>
      </w:r>
    </w:p>
    <w:p w14:paraId="1D8CF460" w14:textId="62C45D4D" w:rsidR="00C54CDE" w:rsidRPr="00D50C6C" w:rsidRDefault="00C54CDE" w:rsidP="008C40EC">
      <w:pPr>
        <w:ind w:left="360"/>
        <w:jc w:val="both"/>
        <w:rPr>
          <w:rFonts w:ascii="Arial" w:hAnsi="Arial" w:cs="Arial"/>
          <w:sz w:val="22"/>
          <w:szCs w:val="22"/>
        </w:rPr>
      </w:pPr>
      <w:r w:rsidRPr="00D50C6C">
        <w:rPr>
          <w:rFonts w:ascii="Arial" w:hAnsi="Arial" w:cs="Arial"/>
          <w:b/>
          <w:bCs/>
          <w:sz w:val="22"/>
          <w:szCs w:val="22"/>
        </w:rPr>
        <w:t>Action:</w:t>
      </w:r>
      <w:r w:rsidRPr="00D50C6C">
        <w:rPr>
          <w:rFonts w:ascii="Arial" w:hAnsi="Arial" w:cs="Arial"/>
          <w:sz w:val="22"/>
          <w:szCs w:val="22"/>
        </w:rPr>
        <w:t xml:space="preserve"> Debrief sessions were held with </w:t>
      </w:r>
      <w:r w:rsidR="008C40EC">
        <w:rPr>
          <w:rFonts w:ascii="Arial" w:hAnsi="Arial" w:cs="Arial"/>
          <w:sz w:val="22"/>
          <w:szCs w:val="22"/>
        </w:rPr>
        <w:t xml:space="preserve">all staff that included the recommendations and  reflection on practice. </w:t>
      </w:r>
    </w:p>
    <w:p w14:paraId="7E5494E1" w14:textId="77777777" w:rsidR="002C43A7" w:rsidRPr="00D50C6C" w:rsidRDefault="00C54CDE" w:rsidP="00D50C6C">
      <w:pPr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D50C6C">
        <w:rPr>
          <w:rFonts w:ascii="Arial" w:hAnsi="Arial" w:cs="Arial"/>
          <w:b/>
          <w:bCs/>
          <w:sz w:val="22"/>
          <w:szCs w:val="22"/>
        </w:rPr>
        <w:t>Completed</w:t>
      </w:r>
    </w:p>
    <w:p w14:paraId="356CBCDC" w14:textId="74DC0B8A" w:rsidR="00C54CDE" w:rsidRPr="000C0C45" w:rsidRDefault="00C54CDE" w:rsidP="000C0C45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C0C45">
        <w:rPr>
          <w:rFonts w:ascii="Arial" w:hAnsi="Arial" w:cs="Arial"/>
          <w:b/>
          <w:bCs/>
          <w:sz w:val="22"/>
          <w:szCs w:val="22"/>
        </w:rPr>
        <w:t>Recommendation:</w:t>
      </w:r>
      <w:r w:rsidRPr="000C0C45">
        <w:rPr>
          <w:rFonts w:ascii="Arial" w:hAnsi="Arial" w:cs="Arial"/>
          <w:sz w:val="22"/>
          <w:szCs w:val="22"/>
        </w:rPr>
        <w:t> NYSCP to endorse and promote the “Prevent and Protect” model for safer sleep and SUDI prevention.</w:t>
      </w:r>
    </w:p>
    <w:p w14:paraId="27962388" w14:textId="2BD132C4" w:rsidR="00C54CDE" w:rsidRPr="00D50C6C" w:rsidRDefault="00C54CDE" w:rsidP="00D50C6C">
      <w:pPr>
        <w:ind w:left="360"/>
        <w:jc w:val="both"/>
        <w:rPr>
          <w:rFonts w:ascii="Arial" w:hAnsi="Arial" w:cs="Arial"/>
          <w:sz w:val="22"/>
          <w:szCs w:val="22"/>
        </w:rPr>
      </w:pPr>
      <w:r w:rsidRPr="00D50C6C">
        <w:rPr>
          <w:rFonts w:ascii="Arial" w:hAnsi="Arial" w:cs="Arial"/>
          <w:b/>
          <w:bCs/>
          <w:sz w:val="22"/>
          <w:szCs w:val="22"/>
        </w:rPr>
        <w:t>Action:</w:t>
      </w:r>
      <w:r w:rsidRPr="00D50C6C">
        <w:rPr>
          <w:rFonts w:ascii="Arial" w:hAnsi="Arial" w:cs="Arial"/>
          <w:sz w:val="22"/>
          <w:szCs w:val="22"/>
        </w:rPr>
        <w:t> Multiagency training and guidance delivered under “Day, Night Sleep Right”; resources available online.</w:t>
      </w:r>
      <w:r w:rsidR="001C5B5F" w:rsidRPr="00D50C6C">
        <w:rPr>
          <w:rFonts w:ascii="Arial" w:hAnsi="Arial" w:cs="Arial"/>
          <w:sz w:val="22"/>
          <w:szCs w:val="22"/>
        </w:rPr>
        <w:t xml:space="preserve"> Core agencies endorsed and integrated the guidance into their agency procedures. </w:t>
      </w:r>
      <w:r w:rsidR="00F1289D" w:rsidRPr="00D50C6C">
        <w:rPr>
          <w:rFonts w:ascii="Arial" w:hAnsi="Arial" w:cs="Arial"/>
          <w:sz w:val="22"/>
          <w:szCs w:val="22"/>
        </w:rPr>
        <w:t>Key leads delivered presentations and training across agencies</w:t>
      </w:r>
      <w:r w:rsidR="008C40EC">
        <w:rPr>
          <w:rFonts w:ascii="Arial" w:hAnsi="Arial" w:cs="Arial"/>
          <w:sz w:val="22"/>
          <w:szCs w:val="22"/>
        </w:rPr>
        <w:t xml:space="preserve"> and the relevant </w:t>
      </w:r>
      <w:r w:rsidR="00F1289D" w:rsidRPr="00D50C6C">
        <w:rPr>
          <w:rFonts w:ascii="Arial" w:hAnsi="Arial" w:cs="Arial"/>
          <w:sz w:val="22"/>
          <w:szCs w:val="22"/>
        </w:rPr>
        <w:t xml:space="preserve">learning resources were made available to frontline practitioners. </w:t>
      </w:r>
    </w:p>
    <w:p w14:paraId="22BB4DC8" w14:textId="77777777" w:rsidR="002C43A7" w:rsidRPr="00D50C6C" w:rsidRDefault="00C54CDE" w:rsidP="002C43A7">
      <w:pPr>
        <w:ind w:firstLine="360"/>
        <w:rPr>
          <w:rFonts w:ascii="Arial" w:hAnsi="Arial" w:cs="Arial"/>
          <w:b/>
          <w:bCs/>
          <w:sz w:val="22"/>
          <w:szCs w:val="22"/>
        </w:rPr>
      </w:pPr>
      <w:r w:rsidRPr="00D50C6C">
        <w:rPr>
          <w:rFonts w:ascii="Arial" w:hAnsi="Arial" w:cs="Arial"/>
          <w:b/>
          <w:bCs/>
          <w:sz w:val="22"/>
          <w:szCs w:val="22"/>
        </w:rPr>
        <w:t>Completed</w:t>
      </w:r>
    </w:p>
    <w:p w14:paraId="53EE5CC7" w14:textId="62A3C770" w:rsidR="00614767" w:rsidRPr="000C0C45" w:rsidRDefault="00614767" w:rsidP="000C0C45">
      <w:pPr>
        <w:pStyle w:val="ListParagraph"/>
        <w:numPr>
          <w:ilvl w:val="0"/>
          <w:numId w:val="15"/>
        </w:numPr>
        <w:shd w:val="clear" w:color="auto" w:fill="FAFAFA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</w:pPr>
      <w:r w:rsidRPr="000C0C45">
        <w:rPr>
          <w:rFonts w:ascii="Arial" w:eastAsia="Times New Roman" w:hAnsi="Arial" w:cs="Arial"/>
          <w:b/>
          <w:bCs/>
          <w:color w:val="424242"/>
          <w:kern w:val="0"/>
          <w:sz w:val="22"/>
          <w:szCs w:val="22"/>
          <w:lang w:eastAsia="en-GB"/>
          <w14:ligatures w14:val="none"/>
        </w:rPr>
        <w:t>Recommendation:</w:t>
      </w:r>
      <w:r w:rsidRPr="000C0C45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 xml:space="preserve"> All </w:t>
      </w:r>
      <w:r w:rsidR="002333B0" w:rsidRPr="000C0C45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 xml:space="preserve">North Yorkshire County Council (now North Yorkshire Council) Children and Family Child in Need </w:t>
      </w:r>
      <w:r w:rsidRPr="000C0C45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>assessments to follow standards for identifying and contacting relevant agencies.</w:t>
      </w:r>
    </w:p>
    <w:p w14:paraId="7A6A2EE8" w14:textId="32424AA4" w:rsidR="00614767" w:rsidRPr="00D50C6C" w:rsidRDefault="00614767" w:rsidP="00D50C6C">
      <w:pPr>
        <w:shd w:val="clear" w:color="auto" w:fill="FAFAFA"/>
        <w:spacing w:before="100" w:beforeAutospacing="1" w:after="100" w:afterAutospacing="1" w:line="300" w:lineRule="atLeast"/>
        <w:ind w:left="360"/>
        <w:jc w:val="both"/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</w:pPr>
      <w:r w:rsidRPr="00D50C6C">
        <w:rPr>
          <w:rFonts w:ascii="Arial" w:eastAsia="Times New Roman" w:hAnsi="Arial" w:cs="Arial"/>
          <w:b/>
          <w:bCs/>
          <w:color w:val="424242"/>
          <w:kern w:val="0"/>
          <w:sz w:val="22"/>
          <w:szCs w:val="22"/>
          <w:lang w:eastAsia="en-GB"/>
          <w14:ligatures w14:val="none"/>
        </w:rPr>
        <w:lastRenderedPageBreak/>
        <w:t>Action:</w:t>
      </w:r>
      <w:r w:rsidRPr="00D50C6C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> </w:t>
      </w:r>
      <w:r w:rsidR="000C0C45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>Assurance given that all t</w:t>
      </w:r>
      <w:r w:rsidRPr="00D50C6C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 xml:space="preserve">eams </w:t>
      </w:r>
      <w:r w:rsidR="000C0C45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 xml:space="preserve">were </w:t>
      </w:r>
      <w:r w:rsidRPr="00D50C6C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>reminded of standard</w:t>
      </w:r>
      <w:r w:rsidR="00DE160B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 xml:space="preserve"> required regarding CIN meeting attendance and flow charts were created. Further assurance sought that </w:t>
      </w:r>
      <w:r w:rsidR="000F452C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>teams were reminded of the need to ensure that</w:t>
      </w:r>
      <w:r w:rsidRPr="00D50C6C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 xml:space="preserve"> GPs </w:t>
      </w:r>
      <w:r w:rsidR="000F452C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 xml:space="preserve">were </w:t>
      </w:r>
      <w:r w:rsidRPr="00D50C6C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>notified of assessments and outcomes.</w:t>
      </w:r>
      <w:r w:rsidR="00896802" w:rsidRPr="00D50C6C"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6967AB5" w14:textId="1402C7D2" w:rsidR="00614767" w:rsidRPr="00D50C6C" w:rsidRDefault="00614767" w:rsidP="00D50C6C">
      <w:pPr>
        <w:shd w:val="clear" w:color="auto" w:fill="FAFAFA"/>
        <w:spacing w:before="100" w:beforeAutospacing="1" w:after="100" w:afterAutospacing="1" w:line="300" w:lineRule="atLeast"/>
        <w:ind w:left="360"/>
        <w:jc w:val="both"/>
        <w:rPr>
          <w:rFonts w:ascii="Arial" w:eastAsia="Times New Roman" w:hAnsi="Arial" w:cs="Arial"/>
          <w:color w:val="424242"/>
          <w:kern w:val="0"/>
          <w:sz w:val="22"/>
          <w:szCs w:val="22"/>
          <w:lang w:eastAsia="en-GB"/>
          <w14:ligatures w14:val="none"/>
        </w:rPr>
      </w:pPr>
      <w:r w:rsidRPr="00D50C6C">
        <w:rPr>
          <w:rFonts w:ascii="Arial" w:eastAsia="Times New Roman" w:hAnsi="Arial" w:cs="Arial"/>
          <w:b/>
          <w:bCs/>
          <w:color w:val="424242"/>
          <w:kern w:val="0"/>
          <w:sz w:val="22"/>
          <w:szCs w:val="22"/>
          <w:lang w:eastAsia="en-GB"/>
          <w14:ligatures w14:val="none"/>
        </w:rPr>
        <w:t>Completed</w:t>
      </w:r>
    </w:p>
    <w:p w14:paraId="090C6468" w14:textId="3A0B6B73" w:rsidR="00614767" w:rsidRPr="000F452C" w:rsidRDefault="00614767" w:rsidP="000F452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F452C">
        <w:rPr>
          <w:rFonts w:ascii="Arial" w:hAnsi="Arial" w:cs="Arial"/>
          <w:b/>
          <w:bCs/>
          <w:sz w:val="22"/>
          <w:szCs w:val="22"/>
        </w:rPr>
        <w:t>Recommendation:</w:t>
      </w:r>
      <w:r w:rsidRPr="000F452C">
        <w:rPr>
          <w:rFonts w:ascii="Arial" w:hAnsi="Arial" w:cs="Arial"/>
          <w:sz w:val="22"/>
          <w:szCs w:val="22"/>
        </w:rPr>
        <w:t xml:space="preserve"> Where </w:t>
      </w:r>
      <w:r w:rsidR="00302D76" w:rsidRPr="000F452C">
        <w:rPr>
          <w:rFonts w:ascii="Arial" w:hAnsi="Arial" w:cs="Arial"/>
          <w:sz w:val="22"/>
          <w:szCs w:val="22"/>
        </w:rPr>
        <w:t xml:space="preserve">children and family </w:t>
      </w:r>
      <w:r w:rsidRPr="000F452C">
        <w:rPr>
          <w:rFonts w:ascii="Arial" w:hAnsi="Arial" w:cs="Arial"/>
          <w:sz w:val="22"/>
          <w:szCs w:val="22"/>
        </w:rPr>
        <w:t>assessments exceed 20 working days, a multi-agency meeting should be considered.</w:t>
      </w:r>
    </w:p>
    <w:p w14:paraId="3B74B276" w14:textId="0E01171D" w:rsidR="00614767" w:rsidRPr="00D50C6C" w:rsidRDefault="00614767" w:rsidP="00D50C6C">
      <w:pPr>
        <w:ind w:left="360"/>
        <w:jc w:val="both"/>
        <w:rPr>
          <w:rFonts w:ascii="Arial" w:hAnsi="Arial" w:cs="Arial"/>
          <w:sz w:val="22"/>
          <w:szCs w:val="22"/>
        </w:rPr>
      </w:pPr>
      <w:r w:rsidRPr="00D50C6C">
        <w:rPr>
          <w:rFonts w:ascii="Arial" w:hAnsi="Arial" w:cs="Arial"/>
          <w:b/>
          <w:bCs/>
          <w:sz w:val="22"/>
          <w:szCs w:val="22"/>
        </w:rPr>
        <w:t>Action:</w:t>
      </w:r>
      <w:r w:rsidRPr="00D50C6C">
        <w:rPr>
          <w:rFonts w:ascii="Arial" w:hAnsi="Arial" w:cs="Arial"/>
          <w:sz w:val="22"/>
          <w:szCs w:val="22"/>
        </w:rPr>
        <w:t> </w:t>
      </w:r>
      <w:r w:rsidR="000F452C">
        <w:rPr>
          <w:rFonts w:ascii="Arial" w:hAnsi="Arial" w:cs="Arial"/>
          <w:sz w:val="22"/>
          <w:szCs w:val="22"/>
        </w:rPr>
        <w:t xml:space="preserve">Assurance provided that by </w:t>
      </w:r>
      <w:r w:rsidR="006C7E3C">
        <w:rPr>
          <w:rFonts w:ascii="Arial" w:hAnsi="Arial" w:cs="Arial"/>
          <w:sz w:val="22"/>
          <w:szCs w:val="22"/>
        </w:rPr>
        <w:t>partners</w:t>
      </w:r>
      <w:r w:rsidR="000F452C">
        <w:rPr>
          <w:rFonts w:ascii="Arial" w:hAnsi="Arial" w:cs="Arial"/>
          <w:sz w:val="22"/>
          <w:szCs w:val="22"/>
        </w:rPr>
        <w:t xml:space="preserve"> that if an assessment exceeds 20 </w:t>
      </w:r>
      <w:r w:rsidR="006C7E3C">
        <w:rPr>
          <w:rFonts w:ascii="Arial" w:hAnsi="Arial" w:cs="Arial"/>
          <w:sz w:val="22"/>
          <w:szCs w:val="22"/>
        </w:rPr>
        <w:t>working</w:t>
      </w:r>
      <w:r w:rsidR="000F452C">
        <w:rPr>
          <w:rFonts w:ascii="Arial" w:hAnsi="Arial" w:cs="Arial"/>
          <w:sz w:val="22"/>
          <w:szCs w:val="22"/>
        </w:rPr>
        <w:t xml:space="preserve"> days</w:t>
      </w:r>
      <w:r w:rsidR="006C7E3C">
        <w:rPr>
          <w:rFonts w:ascii="Arial" w:hAnsi="Arial" w:cs="Arial"/>
          <w:sz w:val="22"/>
          <w:szCs w:val="22"/>
        </w:rPr>
        <w:t>, a multi-agency meeting will be held or a clear rationale will be recorded. This has been undertaken through briefings and group supervisions.</w:t>
      </w:r>
    </w:p>
    <w:p w14:paraId="2DB703B6" w14:textId="77777777" w:rsidR="002C43A7" w:rsidRPr="00D50C6C" w:rsidRDefault="00614767" w:rsidP="00D50C6C">
      <w:pPr>
        <w:ind w:firstLine="360"/>
        <w:jc w:val="both"/>
        <w:rPr>
          <w:rFonts w:ascii="Arial" w:hAnsi="Arial" w:cs="Arial"/>
          <w:b/>
          <w:bCs/>
          <w:sz w:val="22"/>
          <w:szCs w:val="22"/>
        </w:rPr>
      </w:pPr>
      <w:r w:rsidRPr="00D50C6C">
        <w:rPr>
          <w:rFonts w:ascii="Arial" w:hAnsi="Arial" w:cs="Arial"/>
          <w:b/>
          <w:bCs/>
          <w:sz w:val="22"/>
          <w:szCs w:val="22"/>
        </w:rPr>
        <w:t>Completed</w:t>
      </w:r>
    </w:p>
    <w:p w14:paraId="58961E59" w14:textId="56AC901D" w:rsidR="00F56842" w:rsidRPr="006C7E3C" w:rsidRDefault="00F56842" w:rsidP="006C7E3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C7E3C">
        <w:rPr>
          <w:rFonts w:ascii="Arial" w:hAnsi="Arial" w:cs="Arial"/>
          <w:b/>
          <w:bCs/>
          <w:sz w:val="22"/>
          <w:szCs w:val="22"/>
        </w:rPr>
        <w:t>Recommendation:</w:t>
      </w:r>
      <w:r w:rsidRPr="006C7E3C">
        <w:rPr>
          <w:rFonts w:ascii="Arial" w:hAnsi="Arial" w:cs="Arial"/>
          <w:sz w:val="22"/>
          <w:szCs w:val="22"/>
        </w:rPr>
        <w:t> Improve liaison and timely notification between Midwifery and Health Visiting, especially for vulnerable families.</w:t>
      </w:r>
    </w:p>
    <w:p w14:paraId="121721B7" w14:textId="73A90BDA" w:rsidR="00F56842" w:rsidRPr="00D50C6C" w:rsidRDefault="00F56842" w:rsidP="00D50C6C">
      <w:pPr>
        <w:ind w:left="360"/>
        <w:jc w:val="both"/>
        <w:rPr>
          <w:rFonts w:ascii="Arial" w:hAnsi="Arial" w:cs="Arial"/>
          <w:sz w:val="22"/>
          <w:szCs w:val="22"/>
        </w:rPr>
      </w:pPr>
      <w:r w:rsidRPr="00D50C6C">
        <w:rPr>
          <w:rFonts w:ascii="Arial" w:hAnsi="Arial" w:cs="Arial"/>
          <w:b/>
          <w:bCs/>
          <w:sz w:val="22"/>
          <w:szCs w:val="22"/>
        </w:rPr>
        <w:t>Action</w:t>
      </w:r>
      <w:r w:rsidR="00302D76" w:rsidRPr="00D50C6C">
        <w:rPr>
          <w:rFonts w:ascii="Arial" w:hAnsi="Arial" w:cs="Arial"/>
          <w:b/>
          <w:bCs/>
          <w:sz w:val="22"/>
          <w:szCs w:val="22"/>
        </w:rPr>
        <w:t xml:space="preserve">1: </w:t>
      </w:r>
      <w:r w:rsidR="00CB1726" w:rsidRPr="00D50C6C">
        <w:rPr>
          <w:rFonts w:ascii="Arial" w:hAnsi="Arial" w:cs="Arial"/>
          <w:sz w:val="22"/>
          <w:szCs w:val="22"/>
        </w:rPr>
        <w:t>Hospital Trust 1 and 2 reviewed</w:t>
      </w:r>
      <w:r w:rsidR="006C7E3C">
        <w:rPr>
          <w:rFonts w:ascii="Arial" w:hAnsi="Arial" w:cs="Arial"/>
          <w:sz w:val="22"/>
          <w:szCs w:val="22"/>
        </w:rPr>
        <w:t xml:space="preserve"> their</w:t>
      </w:r>
      <w:r w:rsidR="00CB1726" w:rsidRPr="00D50C6C">
        <w:rPr>
          <w:rFonts w:ascii="Arial" w:hAnsi="Arial" w:cs="Arial"/>
          <w:sz w:val="22"/>
          <w:szCs w:val="22"/>
        </w:rPr>
        <w:t xml:space="preserve"> current liaison systems between Midwifery and Health Visiting </w:t>
      </w:r>
      <w:r w:rsidR="008C03A1" w:rsidRPr="00D50C6C">
        <w:rPr>
          <w:rFonts w:ascii="Arial" w:hAnsi="Arial" w:cs="Arial"/>
          <w:sz w:val="22"/>
          <w:szCs w:val="22"/>
        </w:rPr>
        <w:t>Services</w:t>
      </w:r>
      <w:r w:rsidR="00CB1726" w:rsidRPr="00D50C6C">
        <w:rPr>
          <w:rFonts w:ascii="Arial" w:hAnsi="Arial" w:cs="Arial"/>
          <w:sz w:val="22"/>
          <w:szCs w:val="22"/>
        </w:rPr>
        <w:t xml:space="preserve"> and </w:t>
      </w:r>
      <w:r w:rsidR="008C03A1" w:rsidRPr="00D50C6C">
        <w:rPr>
          <w:rFonts w:ascii="Arial" w:hAnsi="Arial" w:cs="Arial"/>
          <w:sz w:val="22"/>
          <w:szCs w:val="22"/>
        </w:rPr>
        <w:t xml:space="preserve">strengthened </w:t>
      </w:r>
      <w:r w:rsidR="00CB1726" w:rsidRPr="00D50C6C">
        <w:rPr>
          <w:rFonts w:ascii="Arial" w:hAnsi="Arial" w:cs="Arial"/>
          <w:sz w:val="22"/>
          <w:szCs w:val="22"/>
        </w:rPr>
        <w:t>process</w:t>
      </w:r>
      <w:r w:rsidR="008C03A1" w:rsidRPr="00D50C6C">
        <w:rPr>
          <w:rFonts w:ascii="Arial" w:hAnsi="Arial" w:cs="Arial"/>
          <w:sz w:val="22"/>
          <w:szCs w:val="22"/>
        </w:rPr>
        <w:t xml:space="preserve">. </w:t>
      </w:r>
      <w:r w:rsidR="006C7E3C">
        <w:rPr>
          <w:rFonts w:ascii="Arial" w:hAnsi="Arial" w:cs="Arial"/>
          <w:sz w:val="22"/>
          <w:szCs w:val="22"/>
        </w:rPr>
        <w:t>There was a pa</w:t>
      </w:r>
      <w:r w:rsidR="008C03A1" w:rsidRPr="00D50C6C">
        <w:rPr>
          <w:rFonts w:ascii="Arial" w:hAnsi="Arial" w:cs="Arial"/>
          <w:sz w:val="22"/>
          <w:szCs w:val="22"/>
        </w:rPr>
        <w:t>rticular focus on</w:t>
      </w:r>
      <w:r w:rsidR="006C7E3C">
        <w:rPr>
          <w:rFonts w:ascii="Arial" w:hAnsi="Arial" w:cs="Arial"/>
          <w:sz w:val="22"/>
          <w:szCs w:val="22"/>
        </w:rPr>
        <w:t xml:space="preserve"> the</w:t>
      </w:r>
      <w:r w:rsidR="008C03A1" w:rsidRPr="00D50C6C">
        <w:rPr>
          <w:rFonts w:ascii="Arial" w:hAnsi="Arial" w:cs="Arial"/>
          <w:sz w:val="22"/>
          <w:szCs w:val="22"/>
        </w:rPr>
        <w:t xml:space="preserve"> timely notification of pregnancy from Midwifery to Health Visiting and further developing systems for liaison re vulnerable families. </w:t>
      </w:r>
    </w:p>
    <w:p w14:paraId="1C7513BE" w14:textId="56CDB8D6" w:rsidR="00F56842" w:rsidRPr="00D50C6C" w:rsidRDefault="00F56842" w:rsidP="00D50C6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50C6C">
        <w:rPr>
          <w:rFonts w:ascii="Arial" w:hAnsi="Arial" w:cs="Arial"/>
          <w:b/>
          <w:bCs/>
          <w:sz w:val="22"/>
          <w:szCs w:val="22"/>
        </w:rPr>
        <w:t>Completed</w:t>
      </w:r>
    </w:p>
    <w:p w14:paraId="275AAB72" w14:textId="04B769FF" w:rsidR="00F56842" w:rsidRPr="00D50C6C" w:rsidRDefault="00DF70D2" w:rsidP="00D50C6C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D50C6C">
        <w:rPr>
          <w:rFonts w:ascii="Arial" w:hAnsi="Arial" w:cs="Arial"/>
          <w:b/>
          <w:bCs/>
          <w:sz w:val="22"/>
          <w:szCs w:val="22"/>
        </w:rPr>
        <w:t xml:space="preserve">Action 2: </w:t>
      </w:r>
      <w:r w:rsidRPr="00D50C6C">
        <w:rPr>
          <w:rFonts w:ascii="Arial" w:hAnsi="Arial" w:cs="Arial"/>
          <w:sz w:val="22"/>
          <w:szCs w:val="22"/>
        </w:rPr>
        <w:t xml:space="preserve">All Hospital trusts involved </w:t>
      </w:r>
      <w:r w:rsidR="006C7E3C">
        <w:rPr>
          <w:rFonts w:ascii="Arial" w:hAnsi="Arial" w:cs="Arial"/>
          <w:sz w:val="22"/>
          <w:szCs w:val="22"/>
        </w:rPr>
        <w:t>in the LSCPR reviewed, and</w:t>
      </w:r>
      <w:r w:rsidRPr="00D50C6C">
        <w:rPr>
          <w:rFonts w:ascii="Arial" w:hAnsi="Arial" w:cs="Arial"/>
          <w:sz w:val="22"/>
          <w:szCs w:val="22"/>
        </w:rPr>
        <w:t xml:space="preserve"> where appropriate improve</w:t>
      </w:r>
      <w:r w:rsidR="006C7E3C">
        <w:rPr>
          <w:rFonts w:ascii="Arial" w:hAnsi="Arial" w:cs="Arial"/>
          <w:sz w:val="22"/>
          <w:szCs w:val="22"/>
        </w:rPr>
        <w:t>d</w:t>
      </w:r>
      <w:r w:rsidRPr="00D50C6C">
        <w:rPr>
          <w:rFonts w:ascii="Arial" w:hAnsi="Arial" w:cs="Arial"/>
          <w:sz w:val="22"/>
          <w:szCs w:val="22"/>
        </w:rPr>
        <w:t xml:space="preserve"> the process for linking relevant health information re vulnerabilities held in sibling records in order to support </w:t>
      </w:r>
      <w:r w:rsidR="00B44003" w:rsidRPr="00D50C6C">
        <w:rPr>
          <w:rFonts w:ascii="Arial" w:hAnsi="Arial" w:cs="Arial"/>
          <w:sz w:val="22"/>
          <w:szCs w:val="22"/>
        </w:rPr>
        <w:t>hospital</w:t>
      </w:r>
      <w:r w:rsidRPr="00D50C6C">
        <w:rPr>
          <w:rFonts w:ascii="Arial" w:hAnsi="Arial" w:cs="Arial"/>
          <w:sz w:val="22"/>
          <w:szCs w:val="22"/>
        </w:rPr>
        <w:t xml:space="preserve"> </w:t>
      </w:r>
      <w:r w:rsidR="00B44003" w:rsidRPr="00D50C6C">
        <w:rPr>
          <w:rFonts w:ascii="Arial" w:hAnsi="Arial" w:cs="Arial"/>
          <w:sz w:val="22"/>
          <w:szCs w:val="22"/>
        </w:rPr>
        <w:t>assessments</w:t>
      </w:r>
      <w:r w:rsidRPr="00D50C6C">
        <w:rPr>
          <w:rFonts w:ascii="Arial" w:hAnsi="Arial" w:cs="Arial"/>
          <w:sz w:val="22"/>
          <w:szCs w:val="22"/>
        </w:rPr>
        <w:t xml:space="preserve"> and </w:t>
      </w:r>
      <w:r w:rsidR="006C7E3C">
        <w:rPr>
          <w:rFonts w:ascii="Arial" w:hAnsi="Arial" w:cs="Arial"/>
          <w:sz w:val="22"/>
          <w:szCs w:val="22"/>
        </w:rPr>
        <w:t xml:space="preserve">the </w:t>
      </w:r>
      <w:r w:rsidRPr="00D50C6C">
        <w:rPr>
          <w:rFonts w:ascii="Arial" w:hAnsi="Arial" w:cs="Arial"/>
          <w:sz w:val="22"/>
          <w:szCs w:val="22"/>
        </w:rPr>
        <w:t xml:space="preserve">understanding of </w:t>
      </w:r>
      <w:r w:rsidR="00B44003" w:rsidRPr="00D50C6C">
        <w:rPr>
          <w:rFonts w:ascii="Arial" w:hAnsi="Arial" w:cs="Arial"/>
          <w:sz w:val="22"/>
          <w:szCs w:val="22"/>
        </w:rPr>
        <w:t>cumulative</w:t>
      </w:r>
      <w:r w:rsidRPr="00D50C6C">
        <w:rPr>
          <w:rFonts w:ascii="Arial" w:hAnsi="Arial" w:cs="Arial"/>
          <w:sz w:val="22"/>
          <w:szCs w:val="22"/>
        </w:rPr>
        <w:t xml:space="preserve"> risks. </w:t>
      </w:r>
    </w:p>
    <w:p w14:paraId="516F8A54" w14:textId="0ED32F64" w:rsidR="00F56842" w:rsidRPr="00D50C6C" w:rsidRDefault="00F56842" w:rsidP="00D50C6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50C6C">
        <w:rPr>
          <w:rFonts w:ascii="Arial" w:hAnsi="Arial" w:cs="Arial"/>
          <w:b/>
          <w:bCs/>
          <w:sz w:val="22"/>
          <w:szCs w:val="22"/>
        </w:rPr>
        <w:t>Completed</w:t>
      </w:r>
    </w:p>
    <w:p w14:paraId="31A5FB10" w14:textId="77777777" w:rsidR="00614767" w:rsidRPr="00C54CDE" w:rsidRDefault="00614767" w:rsidP="00614767">
      <w:pPr>
        <w:rPr>
          <w:u w:val="single"/>
        </w:rPr>
      </w:pPr>
    </w:p>
    <w:p w14:paraId="609E1138" w14:textId="77777777" w:rsidR="00CF3966" w:rsidRDefault="00CF3966">
      <w:pPr>
        <w:rPr>
          <w:u w:val="single"/>
        </w:rPr>
      </w:pPr>
    </w:p>
    <w:p w14:paraId="7FE3FE79" w14:textId="77777777" w:rsidR="00BC2F37" w:rsidRPr="00BC2F37" w:rsidRDefault="00BC2F37" w:rsidP="00BC2F37"/>
    <w:p w14:paraId="54808CD9" w14:textId="77777777" w:rsidR="00BC2F37" w:rsidRPr="00BC2F37" w:rsidRDefault="00BC2F37" w:rsidP="00BC2F37"/>
    <w:p w14:paraId="6C6F382D" w14:textId="77777777" w:rsidR="00BC2F37" w:rsidRDefault="00BC2F37" w:rsidP="00BC2F37"/>
    <w:p w14:paraId="7E59E2A3" w14:textId="77777777" w:rsidR="006C7E3C" w:rsidRDefault="006C7E3C" w:rsidP="00BC2F37"/>
    <w:p w14:paraId="317006BA" w14:textId="77777777" w:rsidR="006C7E3C" w:rsidRDefault="006C7E3C" w:rsidP="00BC2F37"/>
    <w:p w14:paraId="01DAAEAD" w14:textId="77777777" w:rsidR="006C7E3C" w:rsidRPr="00BC2F37" w:rsidRDefault="006C7E3C" w:rsidP="00BC2F37"/>
    <w:p w14:paraId="67804D24" w14:textId="77777777" w:rsidR="00BC2F37" w:rsidRPr="00BC2F37" w:rsidRDefault="00BC2F37" w:rsidP="00BC2F37"/>
    <w:p w14:paraId="330ED43D" w14:textId="77777777" w:rsidR="00BC2F37" w:rsidRPr="00BC2F37" w:rsidRDefault="00BC2F37" w:rsidP="009F2B9C">
      <w:pPr>
        <w:tabs>
          <w:tab w:val="left" w:pos="3580"/>
        </w:tabs>
        <w:spacing w:after="0"/>
        <w:jc w:val="both"/>
        <w:rPr>
          <w:b/>
          <w:bCs/>
          <w:u w:val="single"/>
        </w:rPr>
      </w:pPr>
    </w:p>
    <w:sectPr w:rsidR="00BC2F37" w:rsidRPr="00BC2F37" w:rsidSect="00877553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Borders w:offsetFrom="page">
        <w:top w:val="single" w:sz="18" w:space="24" w:color="E97132" w:themeColor="accent2"/>
        <w:left w:val="single" w:sz="18" w:space="24" w:color="E97132" w:themeColor="accent2"/>
        <w:bottom w:val="single" w:sz="18" w:space="24" w:color="E97132" w:themeColor="accent2"/>
        <w:right w:val="single" w:sz="18" w:space="24" w:color="E97132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5B7A" w14:textId="77777777" w:rsidR="00CF7123" w:rsidRDefault="00CF7123" w:rsidP="00475BBC">
      <w:pPr>
        <w:spacing w:after="0" w:line="240" w:lineRule="auto"/>
      </w:pPr>
      <w:r>
        <w:separator/>
      </w:r>
    </w:p>
  </w:endnote>
  <w:endnote w:type="continuationSeparator" w:id="0">
    <w:p w14:paraId="0E06E6BF" w14:textId="77777777" w:rsidR="00CF7123" w:rsidRDefault="00CF7123" w:rsidP="0047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737C" w14:textId="49391376" w:rsidR="00475BBC" w:rsidRDefault="00C630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AC7733" wp14:editId="2F4DA1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6960" cy="370205"/>
              <wp:effectExtent l="0" t="0" r="8890" b="0"/>
              <wp:wrapNone/>
              <wp:docPr id="615810513" name="Text Box 2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9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D400D" w14:textId="49CF2669" w:rsidR="00C630A2" w:rsidRPr="00C630A2" w:rsidRDefault="00C630A2" w:rsidP="00C630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630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C77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" style="position:absolute;margin-left:0;margin-top:0;width:84.8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" filled="f" stroked="f">
              <v:textbox style="mso-fit-shape-to-text:t" inset="0,0,0,15pt">
                <w:txbxContent>
                  <w:p w14:paraId="753D400D" w14:textId="49CF2669" w:rsidR="00C630A2" w:rsidRPr="00C630A2" w:rsidRDefault="00C630A2" w:rsidP="00C630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630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5018" w14:textId="35C0927A" w:rsidR="00475BBC" w:rsidRDefault="00C630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C033CE" wp14:editId="7042B52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6960" cy="370205"/>
              <wp:effectExtent l="0" t="0" r="8890" b="0"/>
              <wp:wrapNone/>
              <wp:docPr id="448639832" name="Text Box 3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9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6AEEA" w14:textId="31A11516" w:rsidR="00C630A2" w:rsidRPr="00C630A2" w:rsidRDefault="00C630A2" w:rsidP="00C630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630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033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" style="position:absolute;margin-left:0;margin-top:0;width:84.8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" filled="f" stroked="f">
              <v:textbox style="mso-fit-shape-to-text:t" inset="0,0,0,15pt">
                <w:txbxContent>
                  <w:p w14:paraId="2BF6AEEA" w14:textId="31A11516" w:rsidR="00C630A2" w:rsidRPr="00C630A2" w:rsidRDefault="00C630A2" w:rsidP="00C630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630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D02F" w14:textId="715E5887" w:rsidR="00475BBC" w:rsidRDefault="00C630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773472" wp14:editId="1634B2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76960" cy="370205"/>
              <wp:effectExtent l="0" t="0" r="8890" b="0"/>
              <wp:wrapNone/>
              <wp:docPr id="800459712" name="Text Box 1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9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BCA75" w14:textId="4382E0F7" w:rsidR="00C630A2" w:rsidRPr="00C630A2" w:rsidRDefault="00C630A2" w:rsidP="00C630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630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734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" style="position:absolute;margin-left:0;margin-top:0;width:84.8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" filled="f" stroked="f">
              <v:textbox style="mso-fit-shape-to-text:t" inset="0,0,0,15pt">
                <w:txbxContent>
                  <w:p w14:paraId="72ABCA75" w14:textId="4382E0F7" w:rsidR="00C630A2" w:rsidRPr="00C630A2" w:rsidRDefault="00C630A2" w:rsidP="00C630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C630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58CC" w14:textId="77777777" w:rsidR="00CF7123" w:rsidRDefault="00CF7123" w:rsidP="00475BBC">
      <w:pPr>
        <w:spacing w:after="0" w:line="240" w:lineRule="auto"/>
      </w:pPr>
      <w:r>
        <w:separator/>
      </w:r>
    </w:p>
  </w:footnote>
  <w:footnote w:type="continuationSeparator" w:id="0">
    <w:p w14:paraId="2A7EF7C1" w14:textId="77777777" w:rsidR="00CF7123" w:rsidRDefault="00CF7123" w:rsidP="0047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427"/>
    <w:multiLevelType w:val="multilevel"/>
    <w:tmpl w:val="7E96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73C5E"/>
    <w:multiLevelType w:val="multilevel"/>
    <w:tmpl w:val="6A0A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BB4D53"/>
    <w:multiLevelType w:val="multilevel"/>
    <w:tmpl w:val="662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2C7409"/>
    <w:multiLevelType w:val="multilevel"/>
    <w:tmpl w:val="6324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2547A2"/>
    <w:multiLevelType w:val="multilevel"/>
    <w:tmpl w:val="949C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5B5ECA"/>
    <w:multiLevelType w:val="multilevel"/>
    <w:tmpl w:val="9186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9E22EF"/>
    <w:multiLevelType w:val="multilevel"/>
    <w:tmpl w:val="014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9B6815"/>
    <w:multiLevelType w:val="hybridMultilevel"/>
    <w:tmpl w:val="96C0B5A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A818DF"/>
    <w:multiLevelType w:val="multilevel"/>
    <w:tmpl w:val="C970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314D6"/>
    <w:multiLevelType w:val="multilevel"/>
    <w:tmpl w:val="014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0C3FF9"/>
    <w:multiLevelType w:val="multilevel"/>
    <w:tmpl w:val="0EC84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DD10E09"/>
    <w:multiLevelType w:val="hybridMultilevel"/>
    <w:tmpl w:val="B6F0C856"/>
    <w:lvl w:ilvl="0" w:tplc="D7A44F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C8650B"/>
    <w:multiLevelType w:val="multilevel"/>
    <w:tmpl w:val="33F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997A1C"/>
    <w:multiLevelType w:val="multilevel"/>
    <w:tmpl w:val="8A1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EF4D7A"/>
    <w:multiLevelType w:val="hybridMultilevel"/>
    <w:tmpl w:val="CE0C185A"/>
    <w:lvl w:ilvl="0" w:tplc="57189B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7803252">
    <w:abstractNumId w:val="4"/>
  </w:num>
  <w:num w:numId="2" w16cid:durableId="674190631">
    <w:abstractNumId w:val="0"/>
  </w:num>
  <w:num w:numId="3" w16cid:durableId="1325812969">
    <w:abstractNumId w:val="3"/>
  </w:num>
  <w:num w:numId="4" w16cid:durableId="801925371">
    <w:abstractNumId w:val="9"/>
  </w:num>
  <w:num w:numId="5" w16cid:durableId="369381491">
    <w:abstractNumId w:val="2"/>
  </w:num>
  <w:num w:numId="6" w16cid:durableId="61175816">
    <w:abstractNumId w:val="6"/>
  </w:num>
  <w:num w:numId="7" w16cid:durableId="14775158">
    <w:abstractNumId w:val="10"/>
  </w:num>
  <w:num w:numId="8" w16cid:durableId="1970620420">
    <w:abstractNumId w:val="1"/>
  </w:num>
  <w:num w:numId="9" w16cid:durableId="113986077">
    <w:abstractNumId w:val="5"/>
  </w:num>
  <w:num w:numId="10" w16cid:durableId="1799646285">
    <w:abstractNumId w:val="12"/>
  </w:num>
  <w:num w:numId="11" w16cid:durableId="1088577783">
    <w:abstractNumId w:val="13"/>
  </w:num>
  <w:num w:numId="12" w16cid:durableId="388000634">
    <w:abstractNumId w:val="8"/>
  </w:num>
  <w:num w:numId="13" w16cid:durableId="1382751883">
    <w:abstractNumId w:val="11"/>
  </w:num>
  <w:num w:numId="14" w16cid:durableId="121045100">
    <w:abstractNumId w:val="7"/>
  </w:num>
  <w:num w:numId="15" w16cid:durableId="1864318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66"/>
    <w:rsid w:val="0000036D"/>
    <w:rsid w:val="000813C6"/>
    <w:rsid w:val="000A46C1"/>
    <w:rsid w:val="000B0848"/>
    <w:rsid w:val="000C0C45"/>
    <w:rsid w:val="000F452C"/>
    <w:rsid w:val="000F6B45"/>
    <w:rsid w:val="001005DC"/>
    <w:rsid w:val="00120908"/>
    <w:rsid w:val="001472BA"/>
    <w:rsid w:val="0015669C"/>
    <w:rsid w:val="00172248"/>
    <w:rsid w:val="00192751"/>
    <w:rsid w:val="001C5B5F"/>
    <w:rsid w:val="001D6781"/>
    <w:rsid w:val="0020740E"/>
    <w:rsid w:val="002144D6"/>
    <w:rsid w:val="00222FB1"/>
    <w:rsid w:val="002333B0"/>
    <w:rsid w:val="00234B81"/>
    <w:rsid w:val="00247FA5"/>
    <w:rsid w:val="0028535C"/>
    <w:rsid w:val="002B5AD6"/>
    <w:rsid w:val="002C43A7"/>
    <w:rsid w:val="00302D76"/>
    <w:rsid w:val="003225F9"/>
    <w:rsid w:val="00323744"/>
    <w:rsid w:val="00385F0D"/>
    <w:rsid w:val="003A74CF"/>
    <w:rsid w:val="00404803"/>
    <w:rsid w:val="00411F04"/>
    <w:rsid w:val="00413D0F"/>
    <w:rsid w:val="00414CEF"/>
    <w:rsid w:val="00417B24"/>
    <w:rsid w:val="004471F4"/>
    <w:rsid w:val="00475BBC"/>
    <w:rsid w:val="004777EF"/>
    <w:rsid w:val="004B7202"/>
    <w:rsid w:val="00505CE7"/>
    <w:rsid w:val="00524632"/>
    <w:rsid w:val="00533B9E"/>
    <w:rsid w:val="00590770"/>
    <w:rsid w:val="005A2949"/>
    <w:rsid w:val="005B16C4"/>
    <w:rsid w:val="005E356B"/>
    <w:rsid w:val="0060202A"/>
    <w:rsid w:val="00614767"/>
    <w:rsid w:val="00642F11"/>
    <w:rsid w:val="00672514"/>
    <w:rsid w:val="00691347"/>
    <w:rsid w:val="006B05FF"/>
    <w:rsid w:val="006C7E3C"/>
    <w:rsid w:val="006D7BD3"/>
    <w:rsid w:val="007162FA"/>
    <w:rsid w:val="00724299"/>
    <w:rsid w:val="00757654"/>
    <w:rsid w:val="00786371"/>
    <w:rsid w:val="007B7909"/>
    <w:rsid w:val="00806263"/>
    <w:rsid w:val="00830848"/>
    <w:rsid w:val="008453DA"/>
    <w:rsid w:val="00877553"/>
    <w:rsid w:val="00896802"/>
    <w:rsid w:val="008B41D2"/>
    <w:rsid w:val="008C03A1"/>
    <w:rsid w:val="008C40EC"/>
    <w:rsid w:val="00912146"/>
    <w:rsid w:val="00912267"/>
    <w:rsid w:val="00936A6B"/>
    <w:rsid w:val="009558C7"/>
    <w:rsid w:val="00983CEC"/>
    <w:rsid w:val="009E2615"/>
    <w:rsid w:val="009F25EC"/>
    <w:rsid w:val="009F2B9C"/>
    <w:rsid w:val="009F386B"/>
    <w:rsid w:val="00A04526"/>
    <w:rsid w:val="00A2366E"/>
    <w:rsid w:val="00A65627"/>
    <w:rsid w:val="00A843F6"/>
    <w:rsid w:val="00AA43D2"/>
    <w:rsid w:val="00AF2747"/>
    <w:rsid w:val="00B1225D"/>
    <w:rsid w:val="00B1653F"/>
    <w:rsid w:val="00B44003"/>
    <w:rsid w:val="00B7490F"/>
    <w:rsid w:val="00BC2F37"/>
    <w:rsid w:val="00C229DA"/>
    <w:rsid w:val="00C35178"/>
    <w:rsid w:val="00C47D27"/>
    <w:rsid w:val="00C51EB4"/>
    <w:rsid w:val="00C54CDE"/>
    <w:rsid w:val="00C630A2"/>
    <w:rsid w:val="00CA2C38"/>
    <w:rsid w:val="00CB1726"/>
    <w:rsid w:val="00CE6281"/>
    <w:rsid w:val="00CF3966"/>
    <w:rsid w:val="00CF7123"/>
    <w:rsid w:val="00D165A0"/>
    <w:rsid w:val="00D50C6C"/>
    <w:rsid w:val="00DB4324"/>
    <w:rsid w:val="00DB502E"/>
    <w:rsid w:val="00DD7D62"/>
    <w:rsid w:val="00DE160B"/>
    <w:rsid w:val="00DF2085"/>
    <w:rsid w:val="00DF70D2"/>
    <w:rsid w:val="00E1221B"/>
    <w:rsid w:val="00E22CCB"/>
    <w:rsid w:val="00E51706"/>
    <w:rsid w:val="00E63830"/>
    <w:rsid w:val="00EE2BC4"/>
    <w:rsid w:val="00EF7953"/>
    <w:rsid w:val="00F1289D"/>
    <w:rsid w:val="00F36205"/>
    <w:rsid w:val="00F551A2"/>
    <w:rsid w:val="00F56842"/>
    <w:rsid w:val="00F77EA3"/>
    <w:rsid w:val="00F85E66"/>
    <w:rsid w:val="00FA7BCD"/>
    <w:rsid w:val="00FB55E7"/>
    <w:rsid w:val="00FE2C73"/>
    <w:rsid w:val="00FE2C92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913E"/>
  <w15:chartTrackingRefBased/>
  <w15:docId w15:val="{129579CA-5A45-44CA-89F4-791BE98F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96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5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BBC"/>
  </w:style>
  <w:style w:type="paragraph" w:styleId="NormalWeb">
    <w:name w:val="Normal (Web)"/>
    <w:basedOn w:val="Normal"/>
    <w:uiPriority w:val="99"/>
    <w:semiHidden/>
    <w:unhideWhenUsed/>
    <w:rsid w:val="00614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14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Yorkshire Council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Phillips</dc:creator>
  <cp:keywords/>
  <dc:description/>
  <cp:lastModifiedBy>Alison Brunton</cp:lastModifiedBy>
  <cp:revision>2</cp:revision>
  <dcterms:created xsi:type="dcterms:W3CDTF">2025-09-19T15:09:00Z</dcterms:created>
  <dcterms:modified xsi:type="dcterms:W3CDTF">2025-09-19T15:09:00Z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2fb60bc0,24b485d1,1abdb358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 - SENSITIVE</vt:lpwstr>
  </property>
  <property fmtid="{D5CDD505-2E9C-101B-9397-08002B2CF9AE}" pid="5" name="MSIP_Label_13f27b87-3675-4fb5-85ad-fce3efd3a6b0_Enabled">
    <vt:lpwstr>true</vt:lpwstr>
  </property>
  <property fmtid="{D5CDD505-2E9C-101B-9397-08002B2CF9AE}" pid="6" name="MSIP_Label_13f27b87-3675-4fb5-85ad-fce3efd3a6b0_SetDate">
    <vt:lpwstr>2025-09-15T13:17:32Z</vt:lpwstr>
  </property>
  <property fmtid="{D5CDD505-2E9C-101B-9397-08002B2CF9AE}" pid="7" name="MSIP_Label_13f27b87-3675-4fb5-85ad-fce3efd3a6b0_Method">
    <vt:lpwstr>Standard</vt:lpwstr>
  </property>
  <property fmtid="{D5CDD505-2E9C-101B-9397-08002B2CF9AE}" pid="8" name="MSIP_Label_13f27b87-3675-4fb5-85ad-fce3efd3a6b0_Name">
    <vt:lpwstr>OFFICIAL - SENSITIVE</vt:lpwstr>
  </property>
  <property fmtid="{D5CDD505-2E9C-101B-9397-08002B2CF9AE}" pid="9" name="MSIP_Label_13f27b87-3675-4fb5-85ad-fce3efd3a6b0_SiteId">
    <vt:lpwstr>ad3d9c73-9830-44a1-b487-e1055441c70e</vt:lpwstr>
  </property>
  <property fmtid="{D5CDD505-2E9C-101B-9397-08002B2CF9AE}" pid="10" name="MSIP_Label_13f27b87-3675-4fb5-85ad-fce3efd3a6b0_ActionId">
    <vt:lpwstr>fe98a1c1-3f81-40d9-aba6-9e74cb4cf38a</vt:lpwstr>
  </property>
  <property fmtid="{D5CDD505-2E9C-101B-9397-08002B2CF9AE}" pid="11" name="MSIP_Label_13f27b87-3675-4fb5-85ad-fce3efd3a6b0_ContentBits">
    <vt:lpwstr>2</vt:lpwstr>
  </property>
</Properties>
</file>