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CB15" w14:textId="0ADF76E2" w:rsidR="001758F9" w:rsidRDefault="001758F9" w:rsidP="007774F5">
      <w:pPr>
        <w:rPr>
          <w:b/>
          <w:bCs/>
        </w:rPr>
      </w:pPr>
      <w:r>
        <w:rPr>
          <w:noProof/>
          <w:u w:val="single"/>
        </w:rPr>
        <w:drawing>
          <wp:anchor distT="0" distB="0" distL="114300" distR="114300" simplePos="0" relativeHeight="251659264" behindDoc="0" locked="0" layoutInCell="1" allowOverlap="1" wp14:anchorId="39E06E4E" wp14:editId="5B2B81BD">
            <wp:simplePos x="0" y="0"/>
            <wp:positionH relativeFrom="margin">
              <wp:align>center</wp:align>
            </wp:positionH>
            <wp:positionV relativeFrom="paragraph">
              <wp:posOffset>-514350</wp:posOffset>
            </wp:positionV>
            <wp:extent cx="3819646" cy="833217"/>
            <wp:effectExtent l="0" t="0" r="0" b="5080"/>
            <wp:wrapNone/>
            <wp:docPr id="94781543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15439" name="Picture 1" descr="A close-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9646" cy="833217"/>
                    </a:xfrm>
                    <a:prstGeom prst="rect">
                      <a:avLst/>
                    </a:prstGeom>
                    <a:noFill/>
                  </pic:spPr>
                </pic:pic>
              </a:graphicData>
            </a:graphic>
            <wp14:sizeRelH relativeFrom="page">
              <wp14:pctWidth>0</wp14:pctWidth>
            </wp14:sizeRelH>
            <wp14:sizeRelV relativeFrom="page">
              <wp14:pctHeight>0</wp14:pctHeight>
            </wp14:sizeRelV>
          </wp:anchor>
        </w:drawing>
      </w:r>
    </w:p>
    <w:p w14:paraId="623DD880" w14:textId="77777777" w:rsidR="007839F8" w:rsidRDefault="007839F8" w:rsidP="007774F5">
      <w:pPr>
        <w:rPr>
          <w:b/>
          <w:bCs/>
        </w:rPr>
      </w:pPr>
    </w:p>
    <w:p w14:paraId="6CD8D1BA" w14:textId="63C39BD3" w:rsidR="007774F5" w:rsidRPr="007774F5" w:rsidRDefault="007774F5" w:rsidP="007774F5">
      <w:pPr>
        <w:rPr>
          <w:rFonts w:ascii="Arial" w:hAnsi="Arial" w:cs="Arial"/>
          <w:b/>
          <w:bCs/>
        </w:rPr>
      </w:pPr>
      <w:r w:rsidRPr="007774F5">
        <w:rPr>
          <w:rFonts w:ascii="Arial" w:hAnsi="Arial" w:cs="Arial"/>
          <w:b/>
          <w:bCs/>
        </w:rPr>
        <w:t>Child H (Henry) Action Plan Summary for the National Panel</w:t>
      </w:r>
    </w:p>
    <w:p w14:paraId="54F2C8CD" w14:textId="77777777" w:rsidR="007774F5" w:rsidRPr="007774F5" w:rsidRDefault="007774F5" w:rsidP="007774F5">
      <w:pPr>
        <w:rPr>
          <w:rFonts w:ascii="Arial" w:hAnsi="Arial" w:cs="Arial"/>
          <w:b/>
          <w:bCs/>
        </w:rPr>
      </w:pPr>
      <w:r w:rsidRPr="007774F5">
        <w:rPr>
          <w:rFonts w:ascii="Arial" w:hAnsi="Arial" w:cs="Arial"/>
          <w:b/>
          <w:bCs/>
        </w:rPr>
        <w:t>Case Summary</w:t>
      </w:r>
    </w:p>
    <w:p w14:paraId="010E409C" w14:textId="77777777" w:rsidR="007774F5" w:rsidRPr="007774F5" w:rsidRDefault="007774F5" w:rsidP="007774F5">
      <w:pPr>
        <w:rPr>
          <w:rFonts w:ascii="Arial" w:hAnsi="Arial" w:cs="Arial"/>
        </w:rPr>
      </w:pPr>
      <w:r w:rsidRPr="007774F5">
        <w:rPr>
          <w:rFonts w:ascii="Arial" w:hAnsi="Arial" w:cs="Arial"/>
        </w:rPr>
        <w:t>Child H (Henry) was a 19-week-old baby admitted to hospital with seizures and found to have bi-lateral sub-dural haematomas and retinal haemorrhages, suspected to be non-accidental injuries. Earlier, Henry had been admitted with a fractured femur and later presented with a bruise on the temple. The family was known to services due to parental health and mental health issues, and the case involved multiple agencies including Children and Families Service, Police, Health Visiting, Adult Mental Health, and hospital trusts. Following the incident, both parents were arrested and the children were placed under interim care orders.</w:t>
      </w:r>
    </w:p>
    <w:p w14:paraId="1AD155E0" w14:textId="77777777" w:rsidR="007774F5" w:rsidRPr="007774F5" w:rsidRDefault="007774F5" w:rsidP="007774F5">
      <w:pPr>
        <w:rPr>
          <w:rFonts w:ascii="Arial" w:hAnsi="Arial" w:cs="Arial"/>
          <w:b/>
          <w:bCs/>
        </w:rPr>
      </w:pPr>
      <w:r w:rsidRPr="007774F5">
        <w:rPr>
          <w:rFonts w:ascii="Arial" w:hAnsi="Arial" w:cs="Arial"/>
          <w:b/>
          <w:bCs/>
        </w:rPr>
        <w:t>Review Process</w:t>
      </w:r>
    </w:p>
    <w:p w14:paraId="6BD82480" w14:textId="77777777" w:rsidR="007774F5" w:rsidRPr="007774F5" w:rsidRDefault="007774F5" w:rsidP="007774F5">
      <w:pPr>
        <w:numPr>
          <w:ilvl w:val="0"/>
          <w:numId w:val="1"/>
        </w:numPr>
        <w:rPr>
          <w:rFonts w:ascii="Arial" w:hAnsi="Arial" w:cs="Arial"/>
        </w:rPr>
      </w:pPr>
      <w:r w:rsidRPr="007774F5">
        <w:rPr>
          <w:rFonts w:ascii="Arial" w:hAnsi="Arial" w:cs="Arial"/>
        </w:rPr>
        <w:t>Notification to the National Panel: 17th June 2019</w:t>
      </w:r>
    </w:p>
    <w:p w14:paraId="5DFD3BB2" w14:textId="77777777" w:rsidR="007774F5" w:rsidRPr="007774F5" w:rsidRDefault="007774F5" w:rsidP="007774F5">
      <w:pPr>
        <w:numPr>
          <w:ilvl w:val="0"/>
          <w:numId w:val="1"/>
        </w:numPr>
        <w:rPr>
          <w:rFonts w:ascii="Arial" w:hAnsi="Arial" w:cs="Arial"/>
        </w:rPr>
      </w:pPr>
      <w:r w:rsidRPr="007774F5">
        <w:rPr>
          <w:rFonts w:ascii="Arial" w:hAnsi="Arial" w:cs="Arial"/>
        </w:rPr>
        <w:t>Rapid Review: June 2019</w:t>
      </w:r>
    </w:p>
    <w:p w14:paraId="56E80131" w14:textId="77777777" w:rsidR="007774F5" w:rsidRPr="007774F5" w:rsidRDefault="007774F5" w:rsidP="007774F5">
      <w:pPr>
        <w:numPr>
          <w:ilvl w:val="0"/>
          <w:numId w:val="1"/>
        </w:numPr>
        <w:rPr>
          <w:rFonts w:ascii="Arial" w:hAnsi="Arial" w:cs="Arial"/>
        </w:rPr>
      </w:pPr>
      <w:r w:rsidRPr="007774F5">
        <w:rPr>
          <w:rFonts w:ascii="Arial" w:hAnsi="Arial" w:cs="Arial"/>
        </w:rPr>
        <w:t>Proportionate Serious Case Review (SCR) recommended and confirmed by the National Panel on 16th July 2019</w:t>
      </w:r>
    </w:p>
    <w:p w14:paraId="1D82935D" w14:textId="77777777" w:rsidR="007774F5" w:rsidRPr="007774F5" w:rsidRDefault="007774F5" w:rsidP="007774F5">
      <w:pPr>
        <w:numPr>
          <w:ilvl w:val="0"/>
          <w:numId w:val="1"/>
        </w:numPr>
        <w:rPr>
          <w:rFonts w:ascii="Arial" w:hAnsi="Arial" w:cs="Arial"/>
        </w:rPr>
      </w:pPr>
      <w:r w:rsidRPr="007774F5">
        <w:rPr>
          <w:rFonts w:ascii="Arial" w:hAnsi="Arial" w:cs="Arial"/>
        </w:rPr>
        <w:t>Multi-agency review led by NYSCP, with learning and recommendations monitored by the NYSCP Learning &amp; Improvement Subgroup.</w:t>
      </w:r>
    </w:p>
    <w:p w14:paraId="355C131A" w14:textId="29D25078" w:rsidR="007774F5" w:rsidRPr="007774F5" w:rsidRDefault="007774F5" w:rsidP="007774F5">
      <w:pPr>
        <w:rPr>
          <w:rFonts w:ascii="Arial" w:hAnsi="Arial" w:cs="Arial"/>
          <w:b/>
          <w:bCs/>
        </w:rPr>
      </w:pPr>
      <w:r w:rsidRPr="007774F5">
        <w:rPr>
          <w:rFonts w:ascii="Arial" w:hAnsi="Arial" w:cs="Arial"/>
          <w:b/>
          <w:bCs/>
        </w:rPr>
        <w:t xml:space="preserve">Key Recommendations and </w:t>
      </w:r>
      <w:r w:rsidRPr="001758F9">
        <w:rPr>
          <w:rFonts w:ascii="Arial" w:hAnsi="Arial" w:cs="Arial"/>
          <w:b/>
          <w:bCs/>
        </w:rPr>
        <w:t>Complete</w:t>
      </w:r>
      <w:r w:rsidRPr="007774F5">
        <w:rPr>
          <w:rFonts w:ascii="Arial" w:hAnsi="Arial" w:cs="Arial"/>
          <w:b/>
          <w:bCs/>
        </w:rPr>
        <w:t>d Actions</w:t>
      </w:r>
    </w:p>
    <w:p w14:paraId="2855AEC1" w14:textId="77777777" w:rsidR="007774F5" w:rsidRPr="007774F5" w:rsidRDefault="007774F5" w:rsidP="007774F5">
      <w:pPr>
        <w:rPr>
          <w:rFonts w:ascii="Arial" w:hAnsi="Arial" w:cs="Arial"/>
          <w:b/>
          <w:bCs/>
        </w:rPr>
      </w:pPr>
      <w:r w:rsidRPr="007774F5">
        <w:rPr>
          <w:rFonts w:ascii="Arial" w:hAnsi="Arial" w:cs="Arial"/>
          <w:b/>
          <w:bCs/>
        </w:rPr>
        <w:t>1. Second Reporting of CT Scans for Child Protection</w:t>
      </w:r>
    </w:p>
    <w:p w14:paraId="0E952AEF"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Establish if Royal College of Radiologists (RCR) guidelines recommend second reporting of CT scans for child protection and ensure this is implemented. </w:t>
      </w:r>
    </w:p>
    <w:p w14:paraId="19EBB893"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RCR guidance confirmed; local providers to implement second reporting for both skeletal surveys and CT head scans for child protection cases. </w:t>
      </w:r>
    </w:p>
    <w:p w14:paraId="7A1DE193" w14:textId="0B9CD032"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6763BED5" w14:textId="77777777" w:rsidR="007774F5" w:rsidRPr="007774F5" w:rsidRDefault="007774F5" w:rsidP="007774F5">
      <w:pPr>
        <w:rPr>
          <w:rFonts w:ascii="Arial" w:hAnsi="Arial" w:cs="Arial"/>
          <w:b/>
          <w:bCs/>
        </w:rPr>
      </w:pPr>
      <w:r w:rsidRPr="007774F5">
        <w:rPr>
          <w:rFonts w:ascii="Arial" w:hAnsi="Arial" w:cs="Arial"/>
          <w:b/>
          <w:bCs/>
        </w:rPr>
        <w:t>2. Multi-Agency Information Sharing</w:t>
      </w:r>
    </w:p>
    <w:p w14:paraId="3286D29A"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Agencies must always seek information from both the GP and Health Visiting service, not assume one health agency has all relevant information. </w:t>
      </w:r>
    </w:p>
    <w:p w14:paraId="2BC7342C"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Guidance updated and training provided to ensure minimum information is sought from both sources in safeguarding cases. </w:t>
      </w:r>
    </w:p>
    <w:p w14:paraId="789CEA16" w14:textId="794A2054"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36CD3FBC" w14:textId="77777777" w:rsidR="007774F5" w:rsidRPr="007774F5" w:rsidRDefault="007774F5" w:rsidP="007774F5">
      <w:pPr>
        <w:rPr>
          <w:rFonts w:ascii="Arial" w:hAnsi="Arial" w:cs="Arial"/>
          <w:b/>
          <w:bCs/>
        </w:rPr>
      </w:pPr>
      <w:r w:rsidRPr="007774F5">
        <w:rPr>
          <w:rFonts w:ascii="Arial" w:hAnsi="Arial" w:cs="Arial"/>
          <w:b/>
          <w:bCs/>
        </w:rPr>
        <w:t>3. Paediatrician’s Role in Safeguarding</w:t>
      </w:r>
    </w:p>
    <w:p w14:paraId="2DFF4026" w14:textId="77777777" w:rsidR="001758F9" w:rsidRDefault="007774F5" w:rsidP="007774F5">
      <w:pPr>
        <w:rPr>
          <w:rFonts w:ascii="Arial" w:hAnsi="Arial" w:cs="Arial"/>
        </w:rPr>
      </w:pPr>
      <w:r w:rsidRPr="007774F5">
        <w:rPr>
          <w:rFonts w:ascii="Arial" w:hAnsi="Arial" w:cs="Arial"/>
          <w:b/>
          <w:bCs/>
        </w:rPr>
        <w:lastRenderedPageBreak/>
        <w:t>Recommendation:</w:t>
      </w:r>
      <w:r w:rsidRPr="007774F5">
        <w:rPr>
          <w:rFonts w:ascii="Arial" w:hAnsi="Arial" w:cs="Arial"/>
        </w:rPr>
        <w:t xml:space="preserve"> Paediatricians should provide opinions, not definitive conclusions, on unwitnessed significant injuries and clarify when other causes are possible. </w:t>
      </w:r>
    </w:p>
    <w:p w14:paraId="7FA93C12"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Reminders and training for paediatricians to clarify the limits of their opinions in safeguarding contexts. </w:t>
      </w:r>
    </w:p>
    <w:p w14:paraId="7B12DEF1" w14:textId="344CC188"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1DFFC6FA" w14:textId="77777777" w:rsidR="007774F5" w:rsidRPr="007774F5" w:rsidRDefault="007774F5" w:rsidP="007774F5">
      <w:pPr>
        <w:rPr>
          <w:rFonts w:ascii="Arial" w:hAnsi="Arial" w:cs="Arial"/>
          <w:b/>
          <w:bCs/>
        </w:rPr>
      </w:pPr>
      <w:r w:rsidRPr="007774F5">
        <w:rPr>
          <w:rFonts w:ascii="Arial" w:hAnsi="Arial" w:cs="Arial"/>
          <w:b/>
          <w:bCs/>
        </w:rPr>
        <w:t>4. Health Visitor Evidence and Record Sharing</w:t>
      </w:r>
    </w:p>
    <w:p w14:paraId="2C8FECF1"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Health Visitors should clarify the evidence base for their opinions, including records accessed and frequency of contact with the family. </w:t>
      </w:r>
    </w:p>
    <w:p w14:paraId="10565153"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Health Visiting services have improved record templates and are providing additional training on holistic assessment and information sharing. </w:t>
      </w:r>
    </w:p>
    <w:p w14:paraId="78812F5F" w14:textId="2881A2FB"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0F034574" w14:textId="77777777" w:rsidR="007774F5" w:rsidRPr="007774F5" w:rsidRDefault="007774F5" w:rsidP="007774F5">
      <w:pPr>
        <w:rPr>
          <w:rFonts w:ascii="Arial" w:hAnsi="Arial" w:cs="Arial"/>
          <w:b/>
          <w:bCs/>
        </w:rPr>
      </w:pPr>
      <w:r w:rsidRPr="007774F5">
        <w:rPr>
          <w:rFonts w:ascii="Arial" w:hAnsi="Arial" w:cs="Arial"/>
          <w:b/>
          <w:bCs/>
        </w:rPr>
        <w:t>5. Formal Child Protection Medical Reports</w:t>
      </w:r>
    </w:p>
    <w:p w14:paraId="66358E97"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Every Child Protection Medical should result in a formal report, not just when high risk is suspected. </w:t>
      </w:r>
    </w:p>
    <w:p w14:paraId="77CCC58A"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Paediatricians across North Yorkshire reminded of this requirement; guidance to be followed as per RCPCH standards. </w:t>
      </w:r>
    </w:p>
    <w:p w14:paraId="0B8C2306" w14:textId="2FAC15CA"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1A285348" w14:textId="77777777" w:rsidR="007774F5" w:rsidRPr="007774F5" w:rsidRDefault="007774F5" w:rsidP="007774F5">
      <w:pPr>
        <w:rPr>
          <w:rFonts w:ascii="Arial" w:hAnsi="Arial" w:cs="Arial"/>
          <w:b/>
          <w:bCs/>
        </w:rPr>
      </w:pPr>
      <w:r w:rsidRPr="007774F5">
        <w:rPr>
          <w:rFonts w:ascii="Arial" w:hAnsi="Arial" w:cs="Arial"/>
          <w:b/>
          <w:bCs/>
        </w:rPr>
        <w:t>6. Strategy Meetings for Unwitnessed Injuries</w:t>
      </w:r>
    </w:p>
    <w:p w14:paraId="04008244"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For unwitnessed significant injuries to non-mobile children, a multi-agency strategy meeting must be convened, regardless of possible accidental explanations. </w:t>
      </w:r>
    </w:p>
    <w:p w14:paraId="57BCBD7D"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NYSCP Child Protection Procedures to be reviewed and updated; training for all agencies on the importance of strategy meetings. </w:t>
      </w:r>
    </w:p>
    <w:p w14:paraId="180FAA2E" w14:textId="22920B00"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2C0062F4" w14:textId="77777777" w:rsidR="007774F5" w:rsidRPr="007774F5" w:rsidRDefault="007774F5" w:rsidP="007774F5">
      <w:pPr>
        <w:rPr>
          <w:rFonts w:ascii="Arial" w:hAnsi="Arial" w:cs="Arial"/>
          <w:b/>
          <w:bCs/>
        </w:rPr>
      </w:pPr>
      <w:r w:rsidRPr="007774F5">
        <w:rPr>
          <w:rFonts w:ascii="Arial" w:hAnsi="Arial" w:cs="Arial"/>
          <w:b/>
          <w:bCs/>
        </w:rPr>
        <w:t>7. Safeguarding Response to Bruising in Non-Mobile Children</w:t>
      </w:r>
    </w:p>
    <w:p w14:paraId="235278CE"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Maintain a high index of suspicion for safeguarding concerns when bruising is found in non-mobile children; referral to Children &amp; Families Service should be made. </w:t>
      </w:r>
    </w:p>
    <w:p w14:paraId="1AC57026"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Practice guidance reviewed and strengthened; Level 3 safeguarding training for GPs updated. </w:t>
      </w:r>
    </w:p>
    <w:p w14:paraId="25E105FB" w14:textId="2DF13D32"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44AF31C5" w14:textId="77777777" w:rsidR="007774F5" w:rsidRPr="007774F5" w:rsidRDefault="007774F5" w:rsidP="007774F5">
      <w:pPr>
        <w:rPr>
          <w:rFonts w:ascii="Arial" w:hAnsi="Arial" w:cs="Arial"/>
          <w:b/>
          <w:bCs/>
        </w:rPr>
      </w:pPr>
      <w:r w:rsidRPr="007774F5">
        <w:rPr>
          <w:rFonts w:ascii="Arial" w:hAnsi="Arial" w:cs="Arial"/>
          <w:b/>
          <w:bCs/>
        </w:rPr>
        <w:t>8. Safety Planning for Suspected Non-Accidental Injury</w:t>
      </w:r>
    </w:p>
    <w:p w14:paraId="08559E5B" w14:textId="77777777" w:rsidR="001758F9" w:rsidRDefault="007774F5" w:rsidP="007774F5">
      <w:pPr>
        <w:rPr>
          <w:rFonts w:ascii="Arial" w:hAnsi="Arial" w:cs="Arial"/>
        </w:rPr>
      </w:pPr>
      <w:r w:rsidRPr="007774F5">
        <w:rPr>
          <w:rFonts w:ascii="Arial" w:hAnsi="Arial" w:cs="Arial"/>
          <w:b/>
          <w:bCs/>
        </w:rPr>
        <w:lastRenderedPageBreak/>
        <w:t>Recommendation:</w:t>
      </w:r>
      <w:r w:rsidRPr="007774F5">
        <w:rPr>
          <w:rFonts w:ascii="Arial" w:hAnsi="Arial" w:cs="Arial"/>
        </w:rPr>
        <w:t xml:space="preserve"> Safety plans should include all individuals who could have had access to the child during the period of suspected injury. </w:t>
      </w:r>
    </w:p>
    <w:p w14:paraId="0177CCE0"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Children &amp; Families Service to routinely implement comprehensive safety planning. </w:t>
      </w:r>
    </w:p>
    <w:p w14:paraId="10152644" w14:textId="57A8CAC5"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Completed</w:t>
      </w:r>
      <w:r w:rsidRPr="007774F5">
        <w:rPr>
          <w:rFonts w:ascii="Arial" w:hAnsi="Arial" w:cs="Arial"/>
        </w:rPr>
        <w:t>.</w:t>
      </w:r>
    </w:p>
    <w:p w14:paraId="1669AE10" w14:textId="77777777" w:rsidR="007774F5" w:rsidRPr="007774F5" w:rsidRDefault="007774F5" w:rsidP="007774F5">
      <w:pPr>
        <w:rPr>
          <w:rFonts w:ascii="Arial" w:hAnsi="Arial" w:cs="Arial"/>
          <w:b/>
          <w:bCs/>
        </w:rPr>
      </w:pPr>
      <w:r w:rsidRPr="007774F5">
        <w:rPr>
          <w:rFonts w:ascii="Arial" w:hAnsi="Arial" w:cs="Arial"/>
          <w:b/>
          <w:bCs/>
        </w:rPr>
        <w:t>9. Support for Parental Mental Health and Coping with Crying</w:t>
      </w:r>
    </w:p>
    <w:p w14:paraId="655C543B"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Pregnant women with a history of low mood or post-natal depression should be referred to specialist peri-natal mental health services; all new parents to receive ICON information on coping with infant crying. </w:t>
      </w:r>
    </w:p>
    <w:p w14:paraId="18AECE5A"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New peri-natal mental health service launched; ICON information distributed to all new parents in North Yorkshire. </w:t>
      </w:r>
    </w:p>
    <w:p w14:paraId="6F47477E" w14:textId="221848D5"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w:t>
      </w:r>
      <w:r w:rsidRPr="007774F5">
        <w:rPr>
          <w:rFonts w:ascii="Arial" w:hAnsi="Arial" w:cs="Arial"/>
        </w:rPr>
        <w:t>d.</w:t>
      </w:r>
    </w:p>
    <w:p w14:paraId="1C8EA902" w14:textId="77777777" w:rsidR="007774F5" w:rsidRPr="007774F5" w:rsidRDefault="007774F5" w:rsidP="007774F5">
      <w:pPr>
        <w:rPr>
          <w:rFonts w:ascii="Arial" w:hAnsi="Arial" w:cs="Arial"/>
          <w:b/>
          <w:bCs/>
        </w:rPr>
      </w:pPr>
      <w:r w:rsidRPr="007774F5">
        <w:rPr>
          <w:rFonts w:ascii="Arial" w:hAnsi="Arial" w:cs="Arial"/>
          <w:b/>
          <w:bCs/>
        </w:rPr>
        <w:t>10. Early Help and Information Sharing in Primary Care</w:t>
      </w:r>
    </w:p>
    <w:p w14:paraId="79EF9499" w14:textId="77777777" w:rsidR="001758F9" w:rsidRDefault="007774F5" w:rsidP="007774F5">
      <w:pPr>
        <w:rPr>
          <w:rFonts w:ascii="Arial" w:hAnsi="Arial" w:cs="Arial"/>
        </w:rPr>
      </w:pPr>
      <w:r w:rsidRPr="007774F5">
        <w:rPr>
          <w:rFonts w:ascii="Arial" w:hAnsi="Arial" w:cs="Arial"/>
          <w:b/>
          <w:bCs/>
        </w:rPr>
        <w:t>Recommendation:</w:t>
      </w:r>
      <w:r w:rsidRPr="007774F5">
        <w:rPr>
          <w:rFonts w:ascii="Arial" w:hAnsi="Arial" w:cs="Arial"/>
        </w:rPr>
        <w:t xml:space="preserve"> When primary care has concerns about a family, information should be shared with midwifery and health visiting to develop an Early Help plan. </w:t>
      </w:r>
    </w:p>
    <w:p w14:paraId="55AB5F01" w14:textId="77777777" w:rsidR="001758F9" w:rsidRDefault="007774F5" w:rsidP="007774F5">
      <w:pPr>
        <w:rPr>
          <w:rFonts w:ascii="Arial" w:hAnsi="Arial" w:cs="Arial"/>
        </w:rPr>
      </w:pPr>
      <w:r w:rsidRPr="007774F5">
        <w:rPr>
          <w:rFonts w:ascii="Arial" w:hAnsi="Arial" w:cs="Arial"/>
          <w:b/>
          <w:bCs/>
        </w:rPr>
        <w:t>Action:</w:t>
      </w:r>
      <w:r w:rsidRPr="007774F5">
        <w:rPr>
          <w:rFonts w:ascii="Arial" w:hAnsi="Arial" w:cs="Arial"/>
        </w:rPr>
        <w:t xml:space="preserve"> Early Help Strategy launched; GP training updated to support information sharing and timely support. </w:t>
      </w:r>
    </w:p>
    <w:p w14:paraId="27F66B80" w14:textId="7724B11B" w:rsidR="007774F5" w:rsidRPr="007774F5" w:rsidRDefault="007774F5" w:rsidP="007774F5">
      <w:pPr>
        <w:rPr>
          <w:rFonts w:ascii="Arial" w:hAnsi="Arial" w:cs="Arial"/>
        </w:rPr>
      </w:pPr>
      <w:r w:rsidRPr="007774F5">
        <w:rPr>
          <w:rFonts w:ascii="Arial" w:hAnsi="Arial" w:cs="Arial"/>
          <w:b/>
          <w:bCs/>
        </w:rPr>
        <w:t>Status:</w:t>
      </w:r>
      <w:r w:rsidRPr="007774F5">
        <w:rPr>
          <w:rFonts w:ascii="Arial" w:hAnsi="Arial" w:cs="Arial"/>
        </w:rPr>
        <w:t xml:space="preserve"> </w:t>
      </w:r>
      <w:r w:rsidRPr="001758F9">
        <w:rPr>
          <w:rFonts w:ascii="Arial" w:hAnsi="Arial" w:cs="Arial"/>
        </w:rPr>
        <w:t>Complete</w:t>
      </w:r>
      <w:r w:rsidRPr="007774F5">
        <w:rPr>
          <w:rFonts w:ascii="Arial" w:hAnsi="Arial" w:cs="Arial"/>
        </w:rPr>
        <w:t>d.</w:t>
      </w:r>
    </w:p>
    <w:p w14:paraId="1CDF7AFE" w14:textId="77777777" w:rsidR="007774F5" w:rsidRPr="001758F9" w:rsidRDefault="007774F5">
      <w:pPr>
        <w:rPr>
          <w:rFonts w:ascii="Arial" w:hAnsi="Arial" w:cs="Arial"/>
        </w:rPr>
      </w:pPr>
    </w:p>
    <w:sectPr w:rsidR="007774F5" w:rsidRPr="001758F9" w:rsidSect="001758F9">
      <w:footerReference w:type="even" r:id="rId8"/>
      <w:footerReference w:type="default" r:id="rId9"/>
      <w:footerReference w:type="first" r:id="rId10"/>
      <w:pgSz w:w="11906" w:h="16838"/>
      <w:pgMar w:top="1440" w:right="1440" w:bottom="1440" w:left="1440" w:header="708" w:footer="708" w:gutter="0"/>
      <w:pgBorders w:offsetFrom="page">
        <w:top w:val="single" w:sz="8" w:space="24" w:color="E97132" w:themeColor="accent2"/>
        <w:left w:val="single" w:sz="8" w:space="24" w:color="E97132" w:themeColor="accent2"/>
        <w:bottom w:val="single" w:sz="8" w:space="24" w:color="E97132" w:themeColor="accent2"/>
        <w:right w:val="single" w:sz="8" w:space="24" w:color="E97132"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B281" w14:textId="77777777" w:rsidR="007839F8" w:rsidRDefault="007839F8" w:rsidP="007839F8">
      <w:pPr>
        <w:spacing w:after="0" w:line="240" w:lineRule="auto"/>
      </w:pPr>
      <w:r>
        <w:separator/>
      </w:r>
    </w:p>
  </w:endnote>
  <w:endnote w:type="continuationSeparator" w:id="0">
    <w:p w14:paraId="25F48208" w14:textId="77777777" w:rsidR="007839F8" w:rsidRDefault="007839F8" w:rsidP="0078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402C" w14:textId="7756C69D" w:rsidR="007839F8" w:rsidRDefault="007839F8">
    <w:pPr>
      <w:pStyle w:val="Footer"/>
    </w:pPr>
    <w:r>
      <w:rPr>
        <w:noProof/>
      </w:rPr>
      <mc:AlternateContent>
        <mc:Choice Requires="wps">
          <w:drawing>
            <wp:anchor distT="0" distB="0" distL="0" distR="0" simplePos="0" relativeHeight="251659264" behindDoc="0" locked="0" layoutInCell="1" allowOverlap="1" wp14:anchorId="570E5B03" wp14:editId="145B3BB4">
              <wp:simplePos x="635" y="635"/>
              <wp:positionH relativeFrom="page">
                <wp:align>center</wp:align>
              </wp:positionH>
              <wp:positionV relativeFrom="page">
                <wp:align>bottom</wp:align>
              </wp:positionV>
              <wp:extent cx="518795" cy="370205"/>
              <wp:effectExtent l="0" t="0" r="14605" b="0"/>
              <wp:wrapNone/>
              <wp:docPr id="44831140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E44F0B7" w14:textId="75D36D8D" w:rsidR="007839F8" w:rsidRPr="007839F8" w:rsidRDefault="007839F8" w:rsidP="007839F8">
                          <w:pPr>
                            <w:spacing w:after="0"/>
                            <w:rPr>
                              <w:rFonts w:ascii="Aptos" w:eastAsia="Aptos" w:hAnsi="Aptos" w:cs="Aptos"/>
                              <w:noProof/>
                              <w:color w:val="FF0000"/>
                              <w:sz w:val="20"/>
                              <w:szCs w:val="20"/>
                            </w:rPr>
                          </w:pPr>
                          <w:r w:rsidRPr="007839F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E5B03"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bwDQ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" filled="f" stroked="f">
              <v:fill o:detectmouseclick="t"/>
              <v:textbox style="mso-fit-shape-to-text:t" inset="0,0,0,15pt">
                <w:txbxContent>
                  <w:p w14:paraId="3E44F0B7" w14:textId="75D36D8D" w:rsidR="007839F8" w:rsidRPr="007839F8" w:rsidRDefault="007839F8" w:rsidP="007839F8">
                    <w:pPr>
                      <w:spacing w:after="0"/>
                      <w:rPr>
                        <w:rFonts w:ascii="Aptos" w:eastAsia="Aptos" w:hAnsi="Aptos" w:cs="Aptos"/>
                        <w:noProof/>
                        <w:color w:val="FF0000"/>
                        <w:sz w:val="20"/>
                        <w:szCs w:val="20"/>
                      </w:rPr>
                    </w:pPr>
                    <w:r w:rsidRPr="007839F8">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F321" w14:textId="398BEB96" w:rsidR="007839F8" w:rsidRDefault="007839F8">
    <w:pPr>
      <w:pStyle w:val="Footer"/>
    </w:pPr>
    <w:r>
      <w:rPr>
        <w:noProof/>
      </w:rPr>
      <mc:AlternateContent>
        <mc:Choice Requires="wps">
          <w:drawing>
            <wp:anchor distT="0" distB="0" distL="0" distR="0" simplePos="0" relativeHeight="251660288" behindDoc="0" locked="0" layoutInCell="1" allowOverlap="1" wp14:anchorId="47D9A46C" wp14:editId="454DF7E2">
              <wp:simplePos x="914400" y="10058400"/>
              <wp:positionH relativeFrom="page">
                <wp:align>center</wp:align>
              </wp:positionH>
              <wp:positionV relativeFrom="page">
                <wp:align>bottom</wp:align>
              </wp:positionV>
              <wp:extent cx="518795" cy="370205"/>
              <wp:effectExtent l="0" t="0" r="14605" b="0"/>
              <wp:wrapNone/>
              <wp:docPr id="155363465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C44CBEA" w14:textId="464F7FAA" w:rsidR="007839F8" w:rsidRPr="007839F8" w:rsidRDefault="007839F8" w:rsidP="007839F8">
                          <w:pPr>
                            <w:spacing w:after="0"/>
                            <w:rPr>
                              <w:rFonts w:ascii="Aptos" w:eastAsia="Aptos" w:hAnsi="Aptos" w:cs="Aptos"/>
                              <w:noProof/>
                              <w:color w:val="FF0000"/>
                              <w:sz w:val="20"/>
                              <w:szCs w:val="20"/>
                            </w:rPr>
                          </w:pPr>
                          <w:r w:rsidRPr="007839F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D9A46C"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0C44CBEA" w14:textId="464F7FAA" w:rsidR="007839F8" w:rsidRPr="007839F8" w:rsidRDefault="007839F8" w:rsidP="007839F8">
                    <w:pPr>
                      <w:spacing w:after="0"/>
                      <w:rPr>
                        <w:rFonts w:ascii="Aptos" w:eastAsia="Aptos" w:hAnsi="Aptos" w:cs="Aptos"/>
                        <w:noProof/>
                        <w:color w:val="FF0000"/>
                        <w:sz w:val="20"/>
                        <w:szCs w:val="20"/>
                      </w:rPr>
                    </w:pPr>
                    <w:r w:rsidRPr="007839F8">
                      <w:rPr>
                        <w:rFonts w:ascii="Aptos" w:eastAsia="Aptos" w:hAnsi="Aptos" w:cs="Aptos"/>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9560" w14:textId="058F1AA0" w:rsidR="007839F8" w:rsidRDefault="007839F8">
    <w:pPr>
      <w:pStyle w:val="Footer"/>
    </w:pPr>
    <w:r>
      <w:rPr>
        <w:noProof/>
      </w:rPr>
      <mc:AlternateContent>
        <mc:Choice Requires="wps">
          <w:drawing>
            <wp:anchor distT="0" distB="0" distL="0" distR="0" simplePos="0" relativeHeight="251658240" behindDoc="0" locked="0" layoutInCell="1" allowOverlap="1" wp14:anchorId="5DFD0F7D" wp14:editId="5F3FB1BD">
              <wp:simplePos x="635" y="635"/>
              <wp:positionH relativeFrom="page">
                <wp:align>center</wp:align>
              </wp:positionH>
              <wp:positionV relativeFrom="page">
                <wp:align>bottom</wp:align>
              </wp:positionV>
              <wp:extent cx="518795" cy="370205"/>
              <wp:effectExtent l="0" t="0" r="14605" b="0"/>
              <wp:wrapNone/>
              <wp:docPr id="76139464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BA5CE03" w14:textId="52DD312A" w:rsidR="007839F8" w:rsidRPr="007839F8" w:rsidRDefault="007839F8" w:rsidP="007839F8">
                          <w:pPr>
                            <w:spacing w:after="0"/>
                            <w:rPr>
                              <w:rFonts w:ascii="Aptos" w:eastAsia="Aptos" w:hAnsi="Aptos" w:cs="Aptos"/>
                              <w:noProof/>
                              <w:color w:val="FF0000"/>
                              <w:sz w:val="20"/>
                              <w:szCs w:val="20"/>
                            </w:rPr>
                          </w:pPr>
                          <w:r w:rsidRPr="007839F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FD0F7D" id="_x0000_t202" coordsize="21600,21600" o:spt="202" path="m,l,21600r21600,l21600,xe">
              <v:stroke joinstyle="miter"/>
              <v:path gradientshapeok="t" o:connecttype="rect"/>
            </v:shapetype>
            <v:shape id="Text Box 1" o:spid="_x0000_s1028"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" filled="f" stroked="f">
              <v:fill o:detectmouseclick="t"/>
              <v:textbox style="mso-fit-shape-to-text:t" inset="0,0,0,15pt">
                <w:txbxContent>
                  <w:p w14:paraId="6BA5CE03" w14:textId="52DD312A" w:rsidR="007839F8" w:rsidRPr="007839F8" w:rsidRDefault="007839F8" w:rsidP="007839F8">
                    <w:pPr>
                      <w:spacing w:after="0"/>
                      <w:rPr>
                        <w:rFonts w:ascii="Aptos" w:eastAsia="Aptos" w:hAnsi="Aptos" w:cs="Aptos"/>
                        <w:noProof/>
                        <w:color w:val="FF0000"/>
                        <w:sz w:val="20"/>
                        <w:szCs w:val="20"/>
                      </w:rPr>
                    </w:pPr>
                    <w:r w:rsidRPr="007839F8">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D755" w14:textId="77777777" w:rsidR="007839F8" w:rsidRDefault="007839F8" w:rsidP="007839F8">
      <w:pPr>
        <w:spacing w:after="0" w:line="240" w:lineRule="auto"/>
      </w:pPr>
      <w:r>
        <w:separator/>
      </w:r>
    </w:p>
  </w:footnote>
  <w:footnote w:type="continuationSeparator" w:id="0">
    <w:p w14:paraId="0E654EC7" w14:textId="77777777" w:rsidR="007839F8" w:rsidRDefault="007839F8" w:rsidP="00783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A72A2"/>
    <w:multiLevelType w:val="multilevel"/>
    <w:tmpl w:val="249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88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F5"/>
    <w:rsid w:val="001758F9"/>
    <w:rsid w:val="007774F5"/>
    <w:rsid w:val="007839F8"/>
    <w:rsid w:val="00C24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5826"/>
  <w15:chartTrackingRefBased/>
  <w15:docId w15:val="{614C2D68-C725-488B-B637-E0A7A151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4F5"/>
    <w:rPr>
      <w:rFonts w:eastAsiaTheme="majorEastAsia" w:cstheme="majorBidi"/>
      <w:color w:val="272727" w:themeColor="text1" w:themeTint="D8"/>
    </w:rPr>
  </w:style>
  <w:style w:type="paragraph" w:styleId="Title">
    <w:name w:val="Title"/>
    <w:basedOn w:val="Normal"/>
    <w:next w:val="Normal"/>
    <w:link w:val="TitleChar"/>
    <w:uiPriority w:val="10"/>
    <w:qFormat/>
    <w:rsid w:val="00777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4F5"/>
    <w:pPr>
      <w:spacing w:before="160"/>
      <w:jc w:val="center"/>
    </w:pPr>
    <w:rPr>
      <w:i/>
      <w:iCs/>
      <w:color w:val="404040" w:themeColor="text1" w:themeTint="BF"/>
    </w:rPr>
  </w:style>
  <w:style w:type="character" w:customStyle="1" w:styleId="QuoteChar">
    <w:name w:val="Quote Char"/>
    <w:basedOn w:val="DefaultParagraphFont"/>
    <w:link w:val="Quote"/>
    <w:uiPriority w:val="29"/>
    <w:rsid w:val="007774F5"/>
    <w:rPr>
      <w:i/>
      <w:iCs/>
      <w:color w:val="404040" w:themeColor="text1" w:themeTint="BF"/>
    </w:rPr>
  </w:style>
  <w:style w:type="paragraph" w:styleId="ListParagraph">
    <w:name w:val="List Paragraph"/>
    <w:basedOn w:val="Normal"/>
    <w:uiPriority w:val="34"/>
    <w:qFormat/>
    <w:rsid w:val="007774F5"/>
    <w:pPr>
      <w:ind w:left="720"/>
      <w:contextualSpacing/>
    </w:pPr>
  </w:style>
  <w:style w:type="character" w:styleId="IntenseEmphasis">
    <w:name w:val="Intense Emphasis"/>
    <w:basedOn w:val="DefaultParagraphFont"/>
    <w:uiPriority w:val="21"/>
    <w:qFormat/>
    <w:rsid w:val="007774F5"/>
    <w:rPr>
      <w:i/>
      <w:iCs/>
      <w:color w:val="0F4761" w:themeColor="accent1" w:themeShade="BF"/>
    </w:rPr>
  </w:style>
  <w:style w:type="paragraph" w:styleId="IntenseQuote">
    <w:name w:val="Intense Quote"/>
    <w:basedOn w:val="Normal"/>
    <w:next w:val="Normal"/>
    <w:link w:val="IntenseQuoteChar"/>
    <w:uiPriority w:val="30"/>
    <w:qFormat/>
    <w:rsid w:val="00777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4F5"/>
    <w:rPr>
      <w:i/>
      <w:iCs/>
      <w:color w:val="0F4761" w:themeColor="accent1" w:themeShade="BF"/>
    </w:rPr>
  </w:style>
  <w:style w:type="character" w:styleId="IntenseReference">
    <w:name w:val="Intense Reference"/>
    <w:basedOn w:val="DefaultParagraphFont"/>
    <w:uiPriority w:val="32"/>
    <w:qFormat/>
    <w:rsid w:val="007774F5"/>
    <w:rPr>
      <w:b/>
      <w:bCs/>
      <w:smallCaps/>
      <w:color w:val="0F4761" w:themeColor="accent1" w:themeShade="BF"/>
      <w:spacing w:val="5"/>
    </w:rPr>
  </w:style>
  <w:style w:type="paragraph" w:styleId="Footer">
    <w:name w:val="footer"/>
    <w:basedOn w:val="Normal"/>
    <w:link w:val="FooterChar"/>
    <w:uiPriority w:val="99"/>
    <w:unhideWhenUsed/>
    <w:rsid w:val="0078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654</Words>
  <Characters>3988</Characters>
  <Application>Microsoft Office Word</Application>
  <DocSecurity>0</DocSecurity>
  <Lines>69</Lines>
  <Paragraphs>33</Paragraphs>
  <ScaleCrop>false</ScaleCrop>
  <Company>North Yorkshire Council</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Ellingworth</dc:creator>
  <cp:keywords/>
  <dc:description/>
  <cp:lastModifiedBy>Hannah Ellingworth</cp:lastModifiedBy>
  <cp:revision>1</cp:revision>
  <dcterms:created xsi:type="dcterms:W3CDTF">2025-12-19T11:12:00Z</dcterms:created>
  <dcterms:modified xsi:type="dcterms:W3CDTF">2025-12-19T11:26:00Z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2d61f5d6,1ab8b06e,5c9a955e</vt:lpwstr>
  </property>
  <property fmtid="{D5CDD505-2E9C-101B-9397-08002B2CF9AE}" pid="3" name="ClassificationContentMarkingFooterFontProps">
    <vt:lpwstr>#ff0000,10,Aptos</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2025-12-19T11:26:18Z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cdf7874f-870e-4875-b9e7-9b7844c9df4e</vt:lpwstr>
  </property>
  <property fmtid="{D5CDD505-2E9C-101B-9397-08002B2CF9AE}" pid="11" name="MSIP_Label_3ecdfc32-7be5-4b17-9f97-00453388bdd7_ContentBits">
    <vt:lpwstr>2</vt:lpwstr>
  </property>
  <property fmtid="{D5CDD505-2E9C-101B-9397-08002B2CF9AE}" pid="12" name="MSIP_Label_3ecdfc32-7be5-4b17-9f97-00453388bdd7_Tag">
    <vt:lpwstr>10, 3, 0, 1</vt:lpwstr>
  </property>
</Properties>
</file>